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3315" w:type="dxa"/>
        <w:tblLook w:val="04A0" w:firstRow="1" w:lastRow="0" w:firstColumn="1" w:lastColumn="0" w:noHBand="0" w:noVBand="1"/>
      </w:tblPr>
      <w:tblGrid>
        <w:gridCol w:w="1701"/>
        <w:gridCol w:w="2704"/>
        <w:gridCol w:w="8910"/>
      </w:tblGrid>
      <w:tr w:rsidR="00FA5A35" w:rsidRPr="009F37C4" w14:paraId="24D3B57F" w14:textId="77777777" w:rsidTr="00207829">
        <w:tc>
          <w:tcPr>
            <w:tcW w:w="1701" w:type="dxa"/>
            <w:shd w:val="clear" w:color="auto" w:fill="A5C9EB" w:themeFill="text2" w:themeFillTint="40"/>
          </w:tcPr>
          <w:p w14:paraId="4F280C48" w14:textId="121DADFE" w:rsidR="00157DCF" w:rsidRPr="009F37C4" w:rsidRDefault="00157DCF">
            <w:pPr>
              <w:rPr>
                <w:rFonts w:ascii="Calibri" w:hAnsi="Calibri" w:cs="Calibri"/>
                <w:b/>
                <w:bCs/>
                <w:sz w:val="22"/>
                <w:szCs w:val="22"/>
              </w:rPr>
            </w:pPr>
            <w:r w:rsidRPr="009F37C4">
              <w:rPr>
                <w:rFonts w:ascii="Calibri" w:hAnsi="Calibri" w:cs="Calibri"/>
                <w:b/>
                <w:bCs/>
                <w:sz w:val="22"/>
                <w:szCs w:val="22"/>
              </w:rPr>
              <w:t>Global Best Practice</w:t>
            </w:r>
          </w:p>
        </w:tc>
        <w:tc>
          <w:tcPr>
            <w:tcW w:w="2704" w:type="dxa"/>
            <w:shd w:val="clear" w:color="auto" w:fill="A5C9EB" w:themeFill="text2" w:themeFillTint="40"/>
          </w:tcPr>
          <w:p w14:paraId="4E6BFE59" w14:textId="25462B1E" w:rsidR="00157DCF" w:rsidRPr="009F37C4" w:rsidRDefault="00157DCF">
            <w:pPr>
              <w:rPr>
                <w:rFonts w:ascii="Calibri" w:hAnsi="Calibri" w:cs="Calibri"/>
                <w:b/>
                <w:bCs/>
                <w:sz w:val="22"/>
                <w:szCs w:val="22"/>
              </w:rPr>
            </w:pPr>
            <w:r w:rsidRPr="009F37C4">
              <w:rPr>
                <w:rFonts w:ascii="Calibri" w:hAnsi="Calibri" w:cs="Calibri"/>
                <w:b/>
                <w:bCs/>
                <w:sz w:val="22"/>
                <w:szCs w:val="22"/>
              </w:rPr>
              <w:t>Resources</w:t>
            </w:r>
          </w:p>
        </w:tc>
        <w:tc>
          <w:tcPr>
            <w:tcW w:w="8910" w:type="dxa"/>
            <w:shd w:val="clear" w:color="auto" w:fill="A5C9EB" w:themeFill="text2" w:themeFillTint="40"/>
          </w:tcPr>
          <w:p w14:paraId="20096E28" w14:textId="164F73BA" w:rsidR="00157DCF" w:rsidRPr="009F37C4" w:rsidRDefault="00107514">
            <w:pPr>
              <w:rPr>
                <w:rFonts w:ascii="Calibri" w:hAnsi="Calibri" w:cs="Calibri"/>
                <w:b/>
                <w:bCs/>
                <w:sz w:val="22"/>
                <w:szCs w:val="22"/>
              </w:rPr>
            </w:pPr>
            <w:r w:rsidRPr="009F37C4">
              <w:rPr>
                <w:rFonts w:ascii="Calibri" w:hAnsi="Calibri" w:cs="Calibri"/>
                <w:b/>
                <w:bCs/>
                <w:sz w:val="22"/>
                <w:szCs w:val="22"/>
              </w:rPr>
              <w:t xml:space="preserve">Relevant </w:t>
            </w:r>
            <w:r w:rsidR="00EC190D" w:rsidRPr="009F37C4">
              <w:rPr>
                <w:rFonts w:ascii="Calibri" w:hAnsi="Calibri" w:cs="Calibri"/>
                <w:b/>
                <w:bCs/>
                <w:sz w:val="22"/>
                <w:szCs w:val="22"/>
              </w:rPr>
              <w:t>Case Study</w:t>
            </w:r>
          </w:p>
        </w:tc>
      </w:tr>
      <w:tr w:rsidR="003B6A92" w:rsidRPr="009F37C4" w14:paraId="061A10D6" w14:textId="77777777" w:rsidTr="00207829">
        <w:tc>
          <w:tcPr>
            <w:tcW w:w="1701" w:type="dxa"/>
          </w:tcPr>
          <w:p w14:paraId="055945BC" w14:textId="70CC4C78" w:rsidR="003B6A92" w:rsidRPr="009F37C4" w:rsidRDefault="003B6A92">
            <w:pPr>
              <w:rPr>
                <w:rFonts w:ascii="Calibri" w:hAnsi="Calibri" w:cs="Calibri"/>
                <w:b/>
                <w:bCs/>
                <w:sz w:val="22"/>
                <w:szCs w:val="22"/>
              </w:rPr>
            </w:pPr>
            <w:r w:rsidRPr="009F37C4">
              <w:rPr>
                <w:rFonts w:ascii="Calibri" w:hAnsi="Calibri" w:cs="Calibri"/>
                <w:b/>
                <w:bCs/>
                <w:color w:val="C00000"/>
                <w:sz w:val="22"/>
                <w:szCs w:val="22"/>
              </w:rPr>
              <w:t>Supportive Culture and Community</w:t>
            </w:r>
          </w:p>
        </w:tc>
        <w:tc>
          <w:tcPr>
            <w:tcW w:w="2704" w:type="dxa"/>
          </w:tcPr>
          <w:p w14:paraId="4CD4E994" w14:textId="77777777" w:rsidR="003B6A92" w:rsidRPr="009F37C4" w:rsidRDefault="003B6A92">
            <w:pPr>
              <w:rPr>
                <w:rFonts w:ascii="Calibri" w:hAnsi="Calibri" w:cs="Calibri"/>
                <w:b/>
                <w:bCs/>
                <w:sz w:val="22"/>
                <w:szCs w:val="22"/>
              </w:rPr>
            </w:pPr>
          </w:p>
        </w:tc>
        <w:tc>
          <w:tcPr>
            <w:tcW w:w="8910" w:type="dxa"/>
          </w:tcPr>
          <w:p w14:paraId="1F11BA05" w14:textId="77777777" w:rsidR="003B6A92" w:rsidRPr="009F37C4" w:rsidRDefault="003B6A92">
            <w:pPr>
              <w:rPr>
                <w:rFonts w:ascii="Calibri" w:hAnsi="Calibri" w:cs="Calibri"/>
                <w:b/>
                <w:bCs/>
                <w:sz w:val="22"/>
                <w:szCs w:val="22"/>
              </w:rPr>
            </w:pPr>
          </w:p>
        </w:tc>
      </w:tr>
      <w:tr w:rsidR="007C4F0E" w:rsidRPr="009F37C4" w14:paraId="3410B4C0" w14:textId="77777777" w:rsidTr="00207829">
        <w:tc>
          <w:tcPr>
            <w:tcW w:w="1701" w:type="dxa"/>
          </w:tcPr>
          <w:p w14:paraId="68E68F1E" w14:textId="780A4A32" w:rsidR="00157DCF" w:rsidRPr="009F37C4" w:rsidRDefault="00157DCF">
            <w:pPr>
              <w:rPr>
                <w:rFonts w:ascii="Calibri" w:hAnsi="Calibri" w:cs="Calibri"/>
                <w:sz w:val="22"/>
                <w:szCs w:val="22"/>
              </w:rPr>
            </w:pPr>
            <w:r w:rsidRPr="009F37C4">
              <w:rPr>
                <w:rFonts w:ascii="Calibri" w:hAnsi="Calibri" w:cs="Calibri"/>
                <w:color w:val="000000" w:themeColor="text1"/>
                <w:sz w:val="22"/>
                <w:szCs w:val="22"/>
              </w:rPr>
              <w:t>Involve men in FP counseling and conduct further in-depth, qualitative research on why husbands often refuse the use of contraception</w:t>
            </w:r>
            <w:r w:rsidR="003D4BA2" w:rsidRPr="009F37C4">
              <w:rPr>
                <w:rFonts w:ascii="Calibri" w:hAnsi="Calibri" w:cs="Calibri"/>
                <w:color w:val="000000" w:themeColor="text1"/>
                <w:sz w:val="22"/>
                <w:szCs w:val="22"/>
              </w:rPr>
              <w:t>.</w:t>
            </w:r>
          </w:p>
        </w:tc>
        <w:tc>
          <w:tcPr>
            <w:tcW w:w="2704" w:type="dxa"/>
          </w:tcPr>
          <w:p w14:paraId="0CC2ABE4" w14:textId="21A9ABDF" w:rsidR="00EC190D" w:rsidRPr="009F37C4" w:rsidRDefault="00EC190D" w:rsidP="00974418">
            <w:pPr>
              <w:spacing w:after="120"/>
              <w:rPr>
                <w:rFonts w:ascii="Calibri" w:eastAsia="Times New Roman" w:hAnsi="Calibri" w:cs="Calibri"/>
                <w:sz w:val="22"/>
                <w:szCs w:val="22"/>
              </w:rPr>
            </w:pPr>
            <w:r w:rsidRPr="009F37C4">
              <w:rPr>
                <w:rFonts w:ascii="Calibri" w:eastAsia="Times New Roman" w:hAnsi="Calibri" w:cs="Calibri"/>
                <w:sz w:val="22"/>
                <w:szCs w:val="22"/>
              </w:rPr>
              <w:t xml:space="preserve">The HIP Partnership produced a strategic guide, </w:t>
            </w:r>
            <w:hyperlink r:id="rId7" w:history="1">
              <w:r w:rsidRPr="009F37C4">
                <w:rPr>
                  <w:rStyle w:val="Hyperlink"/>
                  <w:rFonts w:ascii="Calibri" w:eastAsia="Times New Roman" w:hAnsi="Calibri" w:cs="Calibri"/>
                  <w:sz w:val="22"/>
                  <w:szCs w:val="22"/>
                </w:rPr>
                <w:t>Engaging Men and Boys in Family Planning</w:t>
              </w:r>
            </w:hyperlink>
            <w:r w:rsidRPr="009F37C4">
              <w:rPr>
                <w:rFonts w:ascii="Calibri" w:eastAsia="Times New Roman" w:hAnsi="Calibri" w:cs="Calibri"/>
                <w:sz w:val="22"/>
                <w:szCs w:val="22"/>
              </w:rPr>
              <w:t xml:space="preserve">.  </w:t>
            </w:r>
          </w:p>
          <w:p w14:paraId="5E7C3845" w14:textId="77777777" w:rsidR="00555A73" w:rsidRPr="009F37C4" w:rsidRDefault="00555A73" w:rsidP="00974418">
            <w:pPr>
              <w:spacing w:after="120"/>
              <w:rPr>
                <w:rFonts w:ascii="Calibri" w:hAnsi="Calibri" w:cs="Calibri"/>
                <w:sz w:val="22"/>
                <w:szCs w:val="22"/>
              </w:rPr>
            </w:pPr>
          </w:p>
          <w:p w14:paraId="23490CE4" w14:textId="280B8F11" w:rsidR="00EC190D" w:rsidRPr="009F37C4" w:rsidRDefault="00EC190D" w:rsidP="00974418">
            <w:pPr>
              <w:spacing w:after="120"/>
              <w:rPr>
                <w:rFonts w:ascii="Calibri" w:hAnsi="Calibri" w:cs="Calibri"/>
                <w:sz w:val="22"/>
                <w:szCs w:val="22"/>
              </w:rPr>
            </w:pPr>
            <w:r w:rsidRPr="009F37C4">
              <w:rPr>
                <w:rFonts w:ascii="Calibri" w:hAnsi="Calibri" w:cs="Calibri"/>
                <w:sz w:val="22"/>
                <w:szCs w:val="22"/>
              </w:rPr>
              <w:t xml:space="preserve">The PACE Project has a 2016 evidence guide, </w:t>
            </w:r>
            <w:hyperlink r:id="rId8" w:history="1">
              <w:r w:rsidRPr="009F37C4">
                <w:rPr>
                  <w:rStyle w:val="Hyperlink"/>
                  <w:rFonts w:ascii="Calibri" w:eastAsia="Times New Roman" w:hAnsi="Calibri" w:cs="Calibri"/>
                  <w:sz w:val="22"/>
                  <w:szCs w:val="22"/>
                </w:rPr>
                <w:t>Men as Contraceptive Users and Family Planning Clients</w:t>
              </w:r>
            </w:hyperlink>
            <w:r w:rsidRPr="009F37C4">
              <w:rPr>
                <w:rFonts w:ascii="Calibri" w:hAnsi="Calibri" w:cs="Calibri"/>
                <w:sz w:val="22"/>
                <w:szCs w:val="22"/>
              </w:rPr>
              <w:t>.</w:t>
            </w:r>
          </w:p>
          <w:p w14:paraId="700D64C3" w14:textId="77777777" w:rsidR="00157DCF" w:rsidRPr="009F37C4" w:rsidRDefault="00157DCF">
            <w:pPr>
              <w:rPr>
                <w:rFonts w:ascii="Calibri" w:hAnsi="Calibri" w:cs="Calibri"/>
                <w:sz w:val="22"/>
                <w:szCs w:val="22"/>
              </w:rPr>
            </w:pPr>
          </w:p>
        </w:tc>
        <w:tc>
          <w:tcPr>
            <w:tcW w:w="8910" w:type="dxa"/>
          </w:tcPr>
          <w:p w14:paraId="4CDF7823" w14:textId="77777777" w:rsidR="00157DCF" w:rsidRPr="009F37C4" w:rsidRDefault="00157DCF">
            <w:pPr>
              <w:rPr>
                <w:rFonts w:ascii="Calibri" w:hAnsi="Calibri" w:cs="Calibri"/>
                <w:sz w:val="22"/>
                <w:szCs w:val="22"/>
              </w:rPr>
            </w:pPr>
          </w:p>
        </w:tc>
      </w:tr>
      <w:tr w:rsidR="007C4F0E" w:rsidRPr="009F37C4" w14:paraId="74EF9129" w14:textId="77777777" w:rsidTr="00207829">
        <w:trPr>
          <w:trHeight w:val="3221"/>
        </w:trPr>
        <w:tc>
          <w:tcPr>
            <w:tcW w:w="1701" w:type="dxa"/>
          </w:tcPr>
          <w:p w14:paraId="7FF30203" w14:textId="3DCD579A" w:rsidR="00EC190D" w:rsidRPr="009F37C4" w:rsidRDefault="00EC190D" w:rsidP="00EC190D">
            <w:pPr>
              <w:rPr>
                <w:rFonts w:ascii="Calibri" w:hAnsi="Calibri" w:cs="Calibri"/>
                <w:sz w:val="22"/>
                <w:szCs w:val="22"/>
              </w:rPr>
            </w:pPr>
            <w:r w:rsidRPr="009F37C4">
              <w:rPr>
                <w:rFonts w:ascii="Calibri" w:hAnsi="Calibri" w:cs="Calibri"/>
                <w:color w:val="000000" w:themeColor="text1"/>
                <w:sz w:val="22"/>
                <w:szCs w:val="22"/>
              </w:rPr>
              <w:t>Engage young people in community-based programming that challenges traditional attitudes toward FP and male involvement</w:t>
            </w:r>
            <w:r w:rsidR="003D4BA2" w:rsidRPr="009F37C4">
              <w:rPr>
                <w:rFonts w:ascii="Calibri" w:hAnsi="Calibri" w:cs="Calibri"/>
                <w:color w:val="000000" w:themeColor="text1"/>
                <w:sz w:val="22"/>
                <w:szCs w:val="22"/>
              </w:rPr>
              <w:t>.</w:t>
            </w:r>
          </w:p>
        </w:tc>
        <w:tc>
          <w:tcPr>
            <w:tcW w:w="2704" w:type="dxa"/>
          </w:tcPr>
          <w:p w14:paraId="0B7A2AC4" w14:textId="3C6A33C2" w:rsidR="00EC190D" w:rsidRPr="009F37C4" w:rsidRDefault="00EC190D" w:rsidP="00974418">
            <w:pPr>
              <w:spacing w:after="120"/>
              <w:rPr>
                <w:rFonts w:ascii="Calibri" w:hAnsi="Calibri" w:cs="Calibri"/>
                <w:b/>
                <w:bCs/>
                <w:sz w:val="22"/>
                <w:szCs w:val="22"/>
              </w:rPr>
            </w:pPr>
            <w:r w:rsidRPr="009F37C4">
              <w:rPr>
                <w:rFonts w:ascii="Calibri" w:hAnsi="Calibri" w:cs="Calibri"/>
                <w:sz w:val="22"/>
                <w:szCs w:val="22"/>
              </w:rPr>
              <w:t xml:space="preserve">Pathfinder published a report entitled </w:t>
            </w:r>
            <w:hyperlink r:id="rId9" w:history="1">
              <w:r w:rsidRPr="009F37C4">
                <w:rPr>
                  <w:rStyle w:val="Hyperlink"/>
                  <w:rFonts w:ascii="Calibri" w:eastAsia="Times New Roman" w:hAnsi="Calibri" w:cs="Calibri"/>
                  <w:sz w:val="22"/>
                  <w:szCs w:val="22"/>
                </w:rPr>
                <w:t>Key Insights for First-Time Parent Programs</w:t>
              </w:r>
            </w:hyperlink>
            <w:r w:rsidRPr="009F37C4">
              <w:rPr>
                <w:rFonts w:ascii="Calibri" w:hAnsi="Calibri" w:cs="Calibri"/>
                <w:sz w:val="22"/>
                <w:szCs w:val="22"/>
              </w:rPr>
              <w:t xml:space="preserve"> in 2020 based on programming by E2A.</w:t>
            </w:r>
          </w:p>
          <w:p w14:paraId="2F5C5A1E" w14:textId="77777777" w:rsidR="00974418" w:rsidRPr="009F37C4" w:rsidRDefault="00974418" w:rsidP="00974418">
            <w:pPr>
              <w:spacing w:after="120"/>
              <w:rPr>
                <w:rFonts w:ascii="Calibri" w:hAnsi="Calibri" w:cs="Calibri"/>
                <w:sz w:val="22"/>
                <w:szCs w:val="22"/>
              </w:rPr>
            </w:pPr>
          </w:p>
          <w:p w14:paraId="68C74A09" w14:textId="2DB90E0A" w:rsidR="00EC190D" w:rsidRPr="009F37C4" w:rsidRDefault="00EC190D" w:rsidP="00974418">
            <w:pPr>
              <w:spacing w:after="120"/>
              <w:rPr>
                <w:rFonts w:ascii="Calibri" w:hAnsi="Calibri" w:cs="Calibri"/>
                <w:b/>
                <w:bCs/>
                <w:sz w:val="22"/>
                <w:szCs w:val="22"/>
              </w:rPr>
            </w:pPr>
            <w:r w:rsidRPr="009F37C4">
              <w:rPr>
                <w:rFonts w:ascii="Calibri" w:hAnsi="Calibri" w:cs="Calibri"/>
                <w:sz w:val="22"/>
                <w:szCs w:val="22"/>
              </w:rPr>
              <w:t xml:space="preserve">E2A led the </w:t>
            </w:r>
            <w:hyperlink r:id="rId10" w:history="1">
              <w:r w:rsidRPr="009F37C4">
                <w:rPr>
                  <w:rStyle w:val="Hyperlink"/>
                  <w:rFonts w:ascii="Calibri" w:eastAsia="Times New Roman" w:hAnsi="Calibri" w:cs="Calibri"/>
                  <w:sz w:val="22"/>
                  <w:szCs w:val="22"/>
                </w:rPr>
                <w:t>expansion of couple-focused interventions</w:t>
              </w:r>
            </w:hyperlink>
            <w:r w:rsidRPr="009F37C4">
              <w:rPr>
                <w:rFonts w:ascii="Calibri" w:hAnsi="Calibri" w:cs="Calibri"/>
                <w:sz w:val="22"/>
                <w:szCs w:val="22"/>
              </w:rPr>
              <w:t xml:space="preserve"> (CFIs), which are often overlooked in global policies.</w:t>
            </w:r>
          </w:p>
          <w:p w14:paraId="28A12C3F" w14:textId="77777777" w:rsidR="00EC190D" w:rsidRPr="009F37C4" w:rsidRDefault="00EC190D" w:rsidP="00EC190D">
            <w:pPr>
              <w:rPr>
                <w:rFonts w:ascii="Calibri" w:hAnsi="Calibri" w:cs="Calibri"/>
                <w:sz w:val="22"/>
                <w:szCs w:val="22"/>
              </w:rPr>
            </w:pPr>
          </w:p>
        </w:tc>
        <w:tc>
          <w:tcPr>
            <w:tcW w:w="8910" w:type="dxa"/>
            <w:vAlign w:val="center"/>
          </w:tcPr>
          <w:p w14:paraId="4A2B29CE" w14:textId="22874E22" w:rsidR="00EC190D" w:rsidRPr="009F37C4" w:rsidRDefault="00EC190D" w:rsidP="00EC190D">
            <w:pPr>
              <w:rPr>
                <w:rFonts w:ascii="Calibri" w:hAnsi="Calibri" w:cs="Calibri"/>
                <w:sz w:val="22"/>
                <w:szCs w:val="22"/>
              </w:rPr>
            </w:pPr>
            <w:r w:rsidRPr="009F37C4">
              <w:rPr>
                <w:rFonts w:ascii="Calibri" w:hAnsi="Calibri" w:cs="Calibri"/>
                <w:color w:val="000000" w:themeColor="text1"/>
                <w:sz w:val="22"/>
                <w:szCs w:val="22"/>
              </w:rPr>
              <w:t xml:space="preserve">Programming was designed for first-time parents in Nigeria, Tanzania, and Burkina Faso based on the First-Time Parent Framework. This life course approach is important because first-time mothers (FTMs) are generally “at increased risk of poor pregnancy, delivery, and child health outcomes.” The intervention included peer-led support for FTMs, groups for male co-parents, informational sessions with mothers and mothers-in-law, and home visits by community health workers. Researchers saw great uptake in breast-feeding and </w:t>
            </w:r>
            <w:proofErr w:type="spellStart"/>
            <w:r w:rsidRPr="009F37C4">
              <w:rPr>
                <w:rFonts w:ascii="Calibri" w:hAnsi="Calibri" w:cs="Calibri"/>
                <w:color w:val="000000" w:themeColor="text1"/>
                <w:sz w:val="22"/>
                <w:szCs w:val="22"/>
              </w:rPr>
              <w:t>mCPR</w:t>
            </w:r>
            <w:proofErr w:type="spellEnd"/>
            <w:r w:rsidRPr="009F37C4">
              <w:rPr>
                <w:rFonts w:ascii="Calibri" w:hAnsi="Calibri" w:cs="Calibri"/>
                <w:color w:val="000000" w:themeColor="text1"/>
                <w:sz w:val="22"/>
                <w:szCs w:val="22"/>
              </w:rPr>
              <w:t xml:space="preserve"> as a result. Participants were also more likely to believe FP decisions should be made jointly between a husband and wife after engaging in the program. (</w:t>
            </w:r>
            <w:r w:rsidRPr="009F37C4">
              <w:rPr>
                <w:rFonts w:ascii="Calibri" w:hAnsi="Calibri" w:cs="Calibri"/>
                <w:b/>
                <w:bCs/>
                <w:sz w:val="22"/>
                <w:szCs w:val="22"/>
              </w:rPr>
              <w:t xml:space="preserve">Source: </w:t>
            </w:r>
            <w:r w:rsidRPr="009F37C4">
              <w:rPr>
                <w:rFonts w:ascii="Calibri" w:hAnsi="Calibri" w:cs="Calibri"/>
                <w:i/>
                <w:iCs/>
                <w:sz w:val="22"/>
                <w:szCs w:val="22"/>
              </w:rPr>
              <w:t>Driving the Next Generation of Global Family Planning Programs: Evidence to Action (E2A) Project Final Report,</w:t>
            </w:r>
            <w:r w:rsidRPr="009F37C4">
              <w:rPr>
                <w:rFonts w:ascii="Calibri" w:hAnsi="Calibri" w:cs="Calibri"/>
                <w:sz w:val="22"/>
                <w:szCs w:val="22"/>
              </w:rPr>
              <w:t xml:space="preserve"> USAID and E2A, June 2021, https://msh.org/wp-content/uploads/2021/08/e2afinalreportjune2021.pdf.)</w:t>
            </w:r>
          </w:p>
        </w:tc>
      </w:tr>
      <w:tr w:rsidR="007C4F0E" w:rsidRPr="009F37C4" w14:paraId="5FDE8F34" w14:textId="77777777" w:rsidTr="00207829">
        <w:tc>
          <w:tcPr>
            <w:tcW w:w="1701" w:type="dxa"/>
          </w:tcPr>
          <w:p w14:paraId="25A0BD1E" w14:textId="09A6771B" w:rsidR="00EC190D" w:rsidRPr="009F37C4" w:rsidRDefault="00974418" w:rsidP="00EC190D">
            <w:pPr>
              <w:rPr>
                <w:rFonts w:ascii="Calibri" w:hAnsi="Calibri" w:cs="Calibri"/>
                <w:sz w:val="22"/>
                <w:szCs w:val="22"/>
              </w:rPr>
            </w:pPr>
            <w:r w:rsidRPr="009F37C4">
              <w:rPr>
                <w:rFonts w:ascii="Calibri" w:hAnsi="Calibri" w:cs="Calibri"/>
                <w:color w:val="000000" w:themeColor="text1"/>
                <w:sz w:val="22"/>
                <w:szCs w:val="22"/>
              </w:rPr>
              <w:t xml:space="preserve">Collaborate with religious stakeholders and </w:t>
            </w:r>
            <w:r w:rsidRPr="009F37C4">
              <w:rPr>
                <w:rFonts w:ascii="Calibri" w:hAnsi="Calibri" w:cs="Calibri"/>
                <w:color w:val="000000" w:themeColor="text1"/>
                <w:sz w:val="22"/>
                <w:szCs w:val="22"/>
              </w:rPr>
              <w:lastRenderedPageBreak/>
              <w:t>communities of practice across the Arab World to design culturally appropriate SRHR curricula</w:t>
            </w:r>
            <w:r w:rsidR="003D4BA2" w:rsidRPr="009F37C4">
              <w:rPr>
                <w:rFonts w:ascii="Calibri" w:hAnsi="Calibri" w:cs="Calibri"/>
                <w:color w:val="000000" w:themeColor="text1"/>
                <w:sz w:val="22"/>
                <w:szCs w:val="22"/>
              </w:rPr>
              <w:t>.</w:t>
            </w:r>
          </w:p>
        </w:tc>
        <w:tc>
          <w:tcPr>
            <w:tcW w:w="2704" w:type="dxa"/>
          </w:tcPr>
          <w:p w14:paraId="2283FF0B" w14:textId="5AFA2E76" w:rsidR="00EC190D" w:rsidRPr="009F37C4" w:rsidRDefault="00974418" w:rsidP="00974418">
            <w:pPr>
              <w:rPr>
                <w:rFonts w:ascii="Calibri" w:hAnsi="Calibri" w:cs="Calibri"/>
                <w:sz w:val="22"/>
                <w:szCs w:val="22"/>
              </w:rPr>
            </w:pPr>
            <w:r w:rsidRPr="009F37C4">
              <w:rPr>
                <w:rFonts w:ascii="Calibri" w:eastAsia="Times New Roman" w:hAnsi="Calibri" w:cs="Calibri"/>
                <w:sz w:val="22"/>
                <w:szCs w:val="22"/>
              </w:rPr>
              <w:lastRenderedPageBreak/>
              <w:t xml:space="preserve">UNFPA put out a report called </w:t>
            </w:r>
            <w:hyperlink r:id="rId11" w:history="1">
              <w:r w:rsidRPr="009F37C4">
                <w:rPr>
                  <w:rStyle w:val="Hyperlink"/>
                  <w:rFonts w:ascii="Calibri" w:hAnsi="Calibri" w:cs="Calibri"/>
                  <w:sz w:val="22"/>
                  <w:szCs w:val="22"/>
                </w:rPr>
                <w:t xml:space="preserve">Between 3eib and Marriage: Navigating Comprehensive Sexuality </w:t>
              </w:r>
              <w:r w:rsidRPr="009F37C4">
                <w:rPr>
                  <w:rStyle w:val="Hyperlink"/>
                  <w:rFonts w:ascii="Calibri" w:hAnsi="Calibri" w:cs="Calibri"/>
                  <w:sz w:val="22"/>
                  <w:szCs w:val="22"/>
                </w:rPr>
                <w:lastRenderedPageBreak/>
                <w:t>Education in the Arab Region</w:t>
              </w:r>
            </w:hyperlink>
            <w:r w:rsidRPr="009F37C4">
              <w:rPr>
                <w:rFonts w:ascii="Calibri" w:eastAsia="Times New Roman" w:hAnsi="Calibri" w:cs="Calibri"/>
                <w:i/>
                <w:iCs/>
                <w:sz w:val="22"/>
                <w:szCs w:val="22"/>
              </w:rPr>
              <w:t xml:space="preserve"> </w:t>
            </w:r>
            <w:r w:rsidRPr="009F37C4">
              <w:rPr>
                <w:rFonts w:ascii="Calibri" w:eastAsia="Times New Roman" w:hAnsi="Calibri" w:cs="Calibri"/>
                <w:sz w:val="22"/>
                <w:szCs w:val="22"/>
              </w:rPr>
              <w:t>in 2020</w:t>
            </w:r>
            <w:r w:rsidR="00795AD8" w:rsidRPr="009F37C4">
              <w:rPr>
                <w:rFonts w:ascii="Calibri" w:eastAsia="Times New Roman" w:hAnsi="Calibri" w:cs="Calibri"/>
                <w:sz w:val="22"/>
                <w:szCs w:val="22"/>
              </w:rPr>
              <w:t>.</w:t>
            </w:r>
          </w:p>
        </w:tc>
        <w:tc>
          <w:tcPr>
            <w:tcW w:w="8910" w:type="dxa"/>
          </w:tcPr>
          <w:p w14:paraId="3CDC05FD" w14:textId="77777777" w:rsidR="00EC190D" w:rsidRPr="009F37C4" w:rsidRDefault="00EC190D" w:rsidP="00EC190D">
            <w:pPr>
              <w:rPr>
                <w:rFonts w:ascii="Calibri" w:hAnsi="Calibri" w:cs="Calibri"/>
                <w:sz w:val="22"/>
                <w:szCs w:val="22"/>
              </w:rPr>
            </w:pPr>
          </w:p>
        </w:tc>
      </w:tr>
      <w:tr w:rsidR="007C4F0E" w:rsidRPr="009F37C4" w14:paraId="00699E04" w14:textId="77777777" w:rsidTr="00207829">
        <w:tc>
          <w:tcPr>
            <w:tcW w:w="1701" w:type="dxa"/>
          </w:tcPr>
          <w:p w14:paraId="7828A4FD" w14:textId="5233F736" w:rsidR="00EC190D" w:rsidRPr="009F37C4" w:rsidRDefault="00795AD8" w:rsidP="00EC190D">
            <w:pPr>
              <w:rPr>
                <w:rFonts w:ascii="Calibri" w:hAnsi="Calibri" w:cs="Calibri"/>
                <w:sz w:val="22"/>
                <w:szCs w:val="22"/>
              </w:rPr>
            </w:pPr>
            <w:r w:rsidRPr="009F37C4">
              <w:rPr>
                <w:rFonts w:ascii="Calibri" w:hAnsi="Calibri" w:cs="Calibri"/>
                <w:color w:val="000000" w:themeColor="text1"/>
                <w:sz w:val="22"/>
                <w:szCs w:val="22"/>
              </w:rPr>
              <w:t>Design behavioral change programs throughout the country to increase support for gender equity and decrease the acceptability of early marriage</w:t>
            </w:r>
            <w:r w:rsidR="003D4BA2" w:rsidRPr="009F37C4">
              <w:rPr>
                <w:rFonts w:ascii="Calibri" w:hAnsi="Calibri" w:cs="Calibri"/>
                <w:color w:val="000000" w:themeColor="text1"/>
                <w:sz w:val="22"/>
                <w:szCs w:val="22"/>
              </w:rPr>
              <w:t>.</w:t>
            </w:r>
          </w:p>
        </w:tc>
        <w:tc>
          <w:tcPr>
            <w:tcW w:w="2704" w:type="dxa"/>
          </w:tcPr>
          <w:p w14:paraId="4AF35EDE" w14:textId="5330AE66" w:rsidR="00795AD8" w:rsidRPr="009F37C4" w:rsidRDefault="00795AD8" w:rsidP="00795AD8">
            <w:pPr>
              <w:spacing w:after="120"/>
              <w:rPr>
                <w:rFonts w:ascii="Calibri" w:eastAsia="Times New Roman" w:hAnsi="Calibri" w:cs="Calibri"/>
                <w:i/>
                <w:iCs/>
                <w:sz w:val="22"/>
                <w:szCs w:val="22"/>
              </w:rPr>
            </w:pPr>
            <w:r w:rsidRPr="009F37C4">
              <w:rPr>
                <w:rFonts w:ascii="Calibri" w:eastAsia="Times New Roman" w:hAnsi="Calibri" w:cs="Calibri"/>
                <w:sz w:val="22"/>
                <w:szCs w:val="22"/>
              </w:rPr>
              <w:t xml:space="preserve">The materials produced as part of the 2017 </w:t>
            </w:r>
            <w:hyperlink r:id="rId12" w:history="1">
              <w:r w:rsidRPr="009F37C4">
                <w:rPr>
                  <w:rStyle w:val="Hyperlink"/>
                  <w:rFonts w:ascii="Calibri" w:eastAsia="Times New Roman" w:hAnsi="Calibri" w:cs="Calibri"/>
                  <w:sz w:val="22"/>
                  <w:szCs w:val="22"/>
                </w:rPr>
                <w:t>UNICEF Regional Study on Child Marriage</w:t>
              </w:r>
            </w:hyperlink>
            <w:r w:rsidRPr="009F37C4">
              <w:rPr>
                <w:rFonts w:ascii="Calibri" w:eastAsia="Times New Roman" w:hAnsi="Calibri" w:cs="Calibri"/>
                <w:sz w:val="22"/>
                <w:szCs w:val="22"/>
              </w:rPr>
              <w:t xml:space="preserve"> provide an excellent analysis of early marriage in the Middle East and North Africa and offer a number of recommendations to holistically address the issue.</w:t>
            </w:r>
          </w:p>
          <w:p w14:paraId="44E6C422" w14:textId="7392F1C8" w:rsidR="00795AD8" w:rsidRPr="00207829" w:rsidRDefault="00795AD8" w:rsidP="00795AD8">
            <w:pPr>
              <w:spacing w:after="120"/>
              <w:rPr>
                <w:rFonts w:ascii="Calibri" w:eastAsia="Times New Roman" w:hAnsi="Calibri" w:cs="Calibri"/>
                <w:i/>
                <w:iCs/>
                <w:sz w:val="22"/>
                <w:szCs w:val="22"/>
              </w:rPr>
            </w:pPr>
            <w:r w:rsidRPr="009F37C4">
              <w:rPr>
                <w:rFonts w:ascii="Calibri" w:eastAsia="Times New Roman" w:hAnsi="Calibri" w:cs="Calibri"/>
                <w:sz w:val="22"/>
                <w:szCs w:val="22"/>
              </w:rPr>
              <w:t xml:space="preserve">Drivers of early marriage are further explored in Fry et al.’s 2019 report for UNICEF, </w:t>
            </w:r>
            <w:hyperlink r:id="rId13" w:history="1">
              <w:r w:rsidRPr="009F37C4">
                <w:rPr>
                  <w:rStyle w:val="Hyperlink"/>
                  <w:rFonts w:ascii="Calibri" w:hAnsi="Calibri" w:cs="Calibri"/>
                  <w:sz w:val="22"/>
                  <w:szCs w:val="22"/>
                </w:rPr>
                <w:t>A Qualitative Study on the Underlying</w:t>
              </w:r>
              <w:r w:rsidRPr="009F37C4">
                <w:rPr>
                  <w:rStyle w:val="Hyperlink"/>
                  <w:rFonts w:ascii="Calibri" w:eastAsia="Times New Roman" w:hAnsi="Calibri" w:cs="Calibri"/>
                  <w:sz w:val="22"/>
                  <w:szCs w:val="22"/>
                </w:rPr>
                <w:t xml:space="preserve"> </w:t>
              </w:r>
              <w:r w:rsidRPr="009F37C4">
                <w:rPr>
                  <w:rStyle w:val="Hyperlink"/>
                  <w:rFonts w:ascii="Calibri" w:hAnsi="Calibri" w:cs="Calibri"/>
                  <w:sz w:val="22"/>
                  <w:szCs w:val="22"/>
                </w:rPr>
                <w:t>Social Norms and Economic Causes that</w:t>
              </w:r>
              <w:r w:rsidRPr="009F37C4">
                <w:rPr>
                  <w:rStyle w:val="Hyperlink"/>
                  <w:rFonts w:ascii="Calibri" w:eastAsia="Times New Roman" w:hAnsi="Calibri" w:cs="Calibri"/>
                  <w:sz w:val="22"/>
                  <w:szCs w:val="22"/>
                </w:rPr>
                <w:t xml:space="preserve"> Lead to Child Marriage in Jordan</w:t>
              </w:r>
            </w:hyperlink>
            <w:r w:rsidRPr="009F37C4">
              <w:rPr>
                <w:rFonts w:ascii="Calibri" w:eastAsia="Times New Roman" w:hAnsi="Calibri" w:cs="Calibri"/>
                <w:i/>
                <w:iCs/>
                <w:sz w:val="22"/>
                <w:szCs w:val="22"/>
              </w:rPr>
              <w:t>.</w:t>
            </w:r>
          </w:p>
          <w:p w14:paraId="7DEE5D20" w14:textId="151E426B" w:rsidR="00795AD8" w:rsidRPr="009F37C4" w:rsidRDefault="00795AD8" w:rsidP="00795AD8">
            <w:pPr>
              <w:spacing w:after="120"/>
              <w:rPr>
                <w:rFonts w:ascii="Calibri" w:eastAsia="Times New Roman" w:hAnsi="Calibri" w:cs="Calibri"/>
                <w:sz w:val="22"/>
                <w:szCs w:val="22"/>
              </w:rPr>
            </w:pPr>
            <w:r w:rsidRPr="009F37C4">
              <w:rPr>
                <w:rFonts w:ascii="Calibri" w:eastAsia="Times New Roman" w:hAnsi="Calibri" w:cs="Calibri"/>
                <w:sz w:val="22"/>
                <w:szCs w:val="22"/>
              </w:rPr>
              <w:t xml:space="preserve">The WHO’s framework combating violence against minors is mapped out in a report entitled </w:t>
            </w:r>
            <w:hyperlink r:id="rId14" w:history="1">
              <w:r w:rsidRPr="009F37C4">
                <w:rPr>
                  <w:rStyle w:val="Hyperlink"/>
                  <w:rFonts w:ascii="Calibri" w:hAnsi="Calibri" w:cs="Calibri"/>
                  <w:sz w:val="22"/>
                  <w:szCs w:val="22"/>
                </w:rPr>
                <w:t>INSPIRE: Seven Strategies for Ending Violence Against Children</w:t>
              </w:r>
            </w:hyperlink>
            <w:r w:rsidRPr="009F37C4">
              <w:rPr>
                <w:rFonts w:ascii="Calibri" w:eastAsia="Times New Roman" w:hAnsi="Calibri" w:cs="Calibri"/>
                <w:i/>
                <w:iCs/>
                <w:sz w:val="22"/>
                <w:szCs w:val="22"/>
              </w:rPr>
              <w:t>.</w:t>
            </w:r>
          </w:p>
          <w:p w14:paraId="4A4E7BB7" w14:textId="77777777" w:rsidR="00EC190D" w:rsidRPr="009F37C4" w:rsidRDefault="00EC190D" w:rsidP="00EC190D">
            <w:pPr>
              <w:rPr>
                <w:rFonts w:ascii="Calibri" w:hAnsi="Calibri" w:cs="Calibri"/>
                <w:sz w:val="22"/>
                <w:szCs w:val="22"/>
              </w:rPr>
            </w:pPr>
          </w:p>
        </w:tc>
        <w:tc>
          <w:tcPr>
            <w:tcW w:w="8910" w:type="dxa"/>
          </w:tcPr>
          <w:p w14:paraId="3FECF46C" w14:textId="77777777" w:rsidR="00EC190D" w:rsidRPr="009F37C4" w:rsidRDefault="00EC190D" w:rsidP="00EC190D">
            <w:pPr>
              <w:rPr>
                <w:rFonts w:ascii="Calibri" w:hAnsi="Calibri" w:cs="Calibri"/>
                <w:sz w:val="22"/>
                <w:szCs w:val="22"/>
              </w:rPr>
            </w:pPr>
          </w:p>
        </w:tc>
      </w:tr>
      <w:tr w:rsidR="007C4F0E" w:rsidRPr="009F37C4" w14:paraId="3CFC0E36" w14:textId="77777777" w:rsidTr="00207829">
        <w:tc>
          <w:tcPr>
            <w:tcW w:w="1701" w:type="dxa"/>
          </w:tcPr>
          <w:p w14:paraId="6EDFBD91" w14:textId="2E9FB97F" w:rsidR="00EC190D" w:rsidRPr="009F37C4" w:rsidRDefault="00E262E5" w:rsidP="00EC190D">
            <w:pPr>
              <w:rPr>
                <w:rFonts w:ascii="Calibri" w:hAnsi="Calibri" w:cs="Calibri"/>
                <w:sz w:val="22"/>
                <w:szCs w:val="22"/>
              </w:rPr>
            </w:pPr>
            <w:r w:rsidRPr="009F37C4">
              <w:rPr>
                <w:rFonts w:ascii="Calibri" w:hAnsi="Calibri" w:cs="Calibri"/>
                <w:color w:val="000000" w:themeColor="text1"/>
                <w:sz w:val="22"/>
                <w:szCs w:val="22"/>
              </w:rPr>
              <w:lastRenderedPageBreak/>
              <w:t>Develop and adapt FP programs with sustainability and local ownership in mind</w:t>
            </w:r>
            <w:r w:rsidR="003D4BA2" w:rsidRPr="009F37C4">
              <w:rPr>
                <w:rFonts w:ascii="Calibri" w:hAnsi="Calibri" w:cs="Calibri"/>
                <w:color w:val="000000" w:themeColor="text1"/>
                <w:sz w:val="22"/>
                <w:szCs w:val="22"/>
              </w:rPr>
              <w:t>.</w:t>
            </w:r>
          </w:p>
        </w:tc>
        <w:tc>
          <w:tcPr>
            <w:tcW w:w="2704" w:type="dxa"/>
          </w:tcPr>
          <w:p w14:paraId="187853C6" w14:textId="1255B48D" w:rsidR="00EC190D" w:rsidRPr="009F37C4" w:rsidRDefault="00E262E5" w:rsidP="00EC190D">
            <w:pPr>
              <w:rPr>
                <w:rFonts w:ascii="Calibri" w:hAnsi="Calibri" w:cs="Calibri"/>
                <w:sz w:val="22"/>
                <w:szCs w:val="22"/>
              </w:rPr>
            </w:pPr>
            <w:r w:rsidRPr="009F37C4">
              <w:rPr>
                <w:rFonts w:ascii="Calibri" w:hAnsi="Calibri" w:cs="Calibri"/>
                <w:color w:val="000000" w:themeColor="text1"/>
                <w:sz w:val="22"/>
                <w:szCs w:val="22"/>
              </w:rPr>
              <w:t xml:space="preserve">The Challenge Initiative’s “business unusual” model: </w:t>
            </w:r>
            <w:hyperlink r:id="rId15" w:history="1">
              <w:r w:rsidRPr="009F37C4">
                <w:rPr>
                  <w:rStyle w:val="Hyperlink"/>
                  <w:rFonts w:ascii="Calibri" w:eastAsia="Times New Roman" w:hAnsi="Calibri" w:cs="Calibri"/>
                  <w:sz w:val="22"/>
                  <w:szCs w:val="22"/>
                </w:rPr>
                <w:t>website</w:t>
              </w:r>
            </w:hyperlink>
          </w:p>
        </w:tc>
        <w:tc>
          <w:tcPr>
            <w:tcW w:w="8910" w:type="dxa"/>
          </w:tcPr>
          <w:p w14:paraId="5B328A9A" w14:textId="77777777" w:rsidR="00EC190D" w:rsidRPr="009F37C4" w:rsidRDefault="00EC190D" w:rsidP="00EC190D">
            <w:pPr>
              <w:rPr>
                <w:rFonts w:ascii="Calibri" w:hAnsi="Calibri" w:cs="Calibri"/>
                <w:sz w:val="22"/>
                <w:szCs w:val="22"/>
              </w:rPr>
            </w:pPr>
          </w:p>
        </w:tc>
      </w:tr>
      <w:tr w:rsidR="003B6A92" w:rsidRPr="009F37C4" w14:paraId="540C469D" w14:textId="77777777" w:rsidTr="00207829">
        <w:tc>
          <w:tcPr>
            <w:tcW w:w="1701" w:type="dxa"/>
          </w:tcPr>
          <w:p w14:paraId="2F68B7C1" w14:textId="47A1985B" w:rsidR="003B6A92" w:rsidRPr="009F37C4" w:rsidRDefault="003B6A92" w:rsidP="00EC190D">
            <w:pPr>
              <w:rPr>
                <w:rFonts w:ascii="Calibri" w:hAnsi="Calibri" w:cs="Calibri"/>
                <w:b/>
                <w:bCs/>
                <w:color w:val="C00000"/>
                <w:sz w:val="22"/>
                <w:szCs w:val="22"/>
              </w:rPr>
            </w:pPr>
            <w:r w:rsidRPr="009F37C4">
              <w:rPr>
                <w:rFonts w:ascii="Calibri" w:hAnsi="Calibri" w:cs="Calibri"/>
                <w:b/>
                <w:bCs/>
                <w:color w:val="C00000"/>
                <w:sz w:val="22"/>
                <w:szCs w:val="22"/>
              </w:rPr>
              <w:t>Enabling Legal and Policy Environment</w:t>
            </w:r>
          </w:p>
        </w:tc>
        <w:tc>
          <w:tcPr>
            <w:tcW w:w="2704" w:type="dxa"/>
          </w:tcPr>
          <w:p w14:paraId="5F5E3064" w14:textId="77777777" w:rsidR="003B6A92" w:rsidRPr="009F37C4" w:rsidRDefault="003B6A92" w:rsidP="00EC190D">
            <w:pPr>
              <w:rPr>
                <w:rFonts w:ascii="Calibri" w:hAnsi="Calibri" w:cs="Calibri"/>
                <w:color w:val="000000" w:themeColor="text1"/>
                <w:sz w:val="22"/>
                <w:szCs w:val="22"/>
              </w:rPr>
            </w:pPr>
          </w:p>
        </w:tc>
        <w:tc>
          <w:tcPr>
            <w:tcW w:w="8910" w:type="dxa"/>
          </w:tcPr>
          <w:p w14:paraId="3B735EE5" w14:textId="77777777" w:rsidR="003B6A92" w:rsidRPr="009F37C4" w:rsidRDefault="003B6A92" w:rsidP="00EC190D">
            <w:pPr>
              <w:rPr>
                <w:rFonts w:ascii="Calibri" w:hAnsi="Calibri" w:cs="Calibri"/>
                <w:sz w:val="22"/>
                <w:szCs w:val="22"/>
              </w:rPr>
            </w:pPr>
          </w:p>
        </w:tc>
      </w:tr>
      <w:tr w:rsidR="003B6A92" w:rsidRPr="009F37C4" w14:paraId="4E4F0A01" w14:textId="77777777" w:rsidTr="00207829">
        <w:tc>
          <w:tcPr>
            <w:tcW w:w="1701" w:type="dxa"/>
          </w:tcPr>
          <w:p w14:paraId="21B603FF" w14:textId="409BFFAC" w:rsidR="003B6A92" w:rsidRPr="009F37C4" w:rsidRDefault="003B6A92" w:rsidP="00EC190D">
            <w:pPr>
              <w:rPr>
                <w:rFonts w:ascii="Calibri" w:hAnsi="Calibri" w:cs="Calibri"/>
                <w:color w:val="000000" w:themeColor="text1"/>
                <w:sz w:val="22"/>
                <w:szCs w:val="22"/>
              </w:rPr>
            </w:pPr>
            <w:r w:rsidRPr="009F37C4">
              <w:rPr>
                <w:rFonts w:ascii="Calibri" w:hAnsi="Calibri" w:cs="Calibri"/>
                <w:color w:val="000000" w:themeColor="text1"/>
                <w:sz w:val="22"/>
                <w:szCs w:val="22"/>
              </w:rPr>
              <w:t>Use a total market approach (TMA) to encourage the private sector, as well as the public sector and non-governmental organizations, to provide supplies and services</w:t>
            </w:r>
            <w:r w:rsidR="003D4BA2" w:rsidRPr="009F37C4">
              <w:rPr>
                <w:rFonts w:ascii="Calibri" w:hAnsi="Calibri" w:cs="Calibri"/>
                <w:color w:val="000000" w:themeColor="text1"/>
                <w:sz w:val="22"/>
                <w:szCs w:val="22"/>
              </w:rPr>
              <w:t>.</w:t>
            </w:r>
          </w:p>
        </w:tc>
        <w:tc>
          <w:tcPr>
            <w:tcW w:w="2704" w:type="dxa"/>
          </w:tcPr>
          <w:p w14:paraId="1CBB5DA7" w14:textId="77777777" w:rsidR="007C4F0E" w:rsidRPr="009F37C4" w:rsidRDefault="007C4F0E" w:rsidP="007C4F0E">
            <w:pPr>
              <w:spacing w:after="120"/>
              <w:rPr>
                <w:rFonts w:ascii="Calibri" w:hAnsi="Calibri" w:cs="Calibri"/>
                <w:sz w:val="22"/>
                <w:szCs w:val="22"/>
              </w:rPr>
            </w:pPr>
            <w:r w:rsidRPr="009F37C4">
              <w:rPr>
                <w:rFonts w:ascii="Calibri" w:hAnsi="Calibri" w:cs="Calibri"/>
                <w:sz w:val="22"/>
                <w:szCs w:val="22"/>
              </w:rPr>
              <w:t xml:space="preserve">Cisek et al. published </w:t>
            </w:r>
            <w:hyperlink r:id="rId16" w:history="1">
              <w:r w:rsidRPr="009F37C4">
                <w:rPr>
                  <w:rStyle w:val="Hyperlink"/>
                  <w:rFonts w:ascii="Calibri" w:eastAsia="Times New Roman" w:hAnsi="Calibri" w:cs="Calibri"/>
                  <w:sz w:val="22"/>
                  <w:szCs w:val="22"/>
                </w:rPr>
                <w:t>Strengthening family planning stewardship with a total market approach</w:t>
              </w:r>
            </w:hyperlink>
            <w:r w:rsidRPr="009F37C4">
              <w:rPr>
                <w:rFonts w:ascii="Calibri" w:hAnsi="Calibri" w:cs="Calibri"/>
                <w:sz w:val="22"/>
                <w:szCs w:val="22"/>
              </w:rPr>
              <w:t xml:space="preserve"> in 2018 based on experiences in Mali, Uganda, and Kenya.</w:t>
            </w:r>
          </w:p>
          <w:p w14:paraId="5AFF07E2" w14:textId="77777777" w:rsidR="007C4F0E" w:rsidRPr="009F37C4" w:rsidRDefault="007C4F0E" w:rsidP="007C4F0E">
            <w:pPr>
              <w:spacing w:after="120"/>
              <w:rPr>
                <w:rFonts w:ascii="Calibri" w:eastAsia="Times New Roman" w:hAnsi="Calibri" w:cs="Calibri"/>
                <w:sz w:val="22"/>
                <w:szCs w:val="22"/>
              </w:rPr>
            </w:pPr>
          </w:p>
          <w:p w14:paraId="669E5885" w14:textId="5B049CC5" w:rsidR="007C4F0E" w:rsidRPr="009F37C4" w:rsidRDefault="007C4F0E" w:rsidP="007C4F0E">
            <w:pPr>
              <w:spacing w:after="120"/>
              <w:rPr>
                <w:rFonts w:ascii="Calibri" w:hAnsi="Calibri" w:cs="Calibri"/>
                <w:sz w:val="22"/>
                <w:szCs w:val="22"/>
              </w:rPr>
            </w:pPr>
            <w:r w:rsidRPr="009F37C4">
              <w:rPr>
                <w:rFonts w:ascii="Calibri" w:eastAsia="Times New Roman" w:hAnsi="Calibri" w:cs="Calibri"/>
                <w:sz w:val="22"/>
                <w:szCs w:val="22"/>
              </w:rPr>
              <w:t xml:space="preserve">The Evidence Project published a </w:t>
            </w:r>
            <w:hyperlink r:id="rId17" w:history="1">
              <w:r w:rsidRPr="009F37C4">
                <w:rPr>
                  <w:rStyle w:val="Hyperlink"/>
                  <w:rFonts w:ascii="Calibri" w:eastAsia="Times New Roman" w:hAnsi="Calibri" w:cs="Calibri"/>
                  <w:sz w:val="22"/>
                  <w:szCs w:val="22"/>
                </w:rPr>
                <w:t>Planning Guide for a Total Market Approach to Increase Access to Family Planning</w:t>
              </w:r>
            </w:hyperlink>
            <w:r w:rsidRPr="009F37C4">
              <w:rPr>
                <w:rFonts w:ascii="Calibri" w:eastAsia="Times New Roman" w:hAnsi="Calibri" w:cs="Calibri"/>
                <w:sz w:val="22"/>
                <w:szCs w:val="22"/>
              </w:rPr>
              <w:t xml:space="preserve"> in 2016. </w:t>
            </w:r>
          </w:p>
          <w:p w14:paraId="7068E8C5" w14:textId="77777777" w:rsidR="007C4F0E" w:rsidRPr="009F37C4" w:rsidRDefault="007C4F0E" w:rsidP="007C4F0E">
            <w:pPr>
              <w:spacing w:after="120"/>
              <w:rPr>
                <w:rFonts w:ascii="Calibri" w:hAnsi="Calibri" w:cs="Calibri"/>
                <w:sz w:val="22"/>
                <w:szCs w:val="22"/>
              </w:rPr>
            </w:pPr>
          </w:p>
          <w:p w14:paraId="63B6DB34" w14:textId="4E1AACED" w:rsidR="007C4F0E" w:rsidRPr="009F37C4" w:rsidRDefault="007C4F0E" w:rsidP="007C4F0E">
            <w:pPr>
              <w:spacing w:after="120"/>
              <w:rPr>
                <w:rFonts w:ascii="Calibri" w:hAnsi="Calibri" w:cs="Calibri"/>
                <w:sz w:val="22"/>
                <w:szCs w:val="22"/>
              </w:rPr>
            </w:pPr>
            <w:r w:rsidRPr="009F37C4">
              <w:rPr>
                <w:rFonts w:ascii="Calibri" w:hAnsi="Calibri" w:cs="Calibri"/>
                <w:sz w:val="22"/>
                <w:szCs w:val="22"/>
              </w:rPr>
              <w:t xml:space="preserve">MEASURE Evaluation, a USAID data for health initiative, produced the </w:t>
            </w:r>
            <w:r w:rsidRPr="009F37C4">
              <w:rPr>
                <w:rFonts w:ascii="Calibri" w:hAnsi="Calibri" w:cs="Calibri"/>
                <w:i/>
                <w:iCs/>
                <w:sz w:val="22"/>
                <w:szCs w:val="22"/>
              </w:rPr>
              <w:t>Handbook for Research on the Family Planning Market</w:t>
            </w:r>
            <w:r w:rsidRPr="009F37C4">
              <w:rPr>
                <w:rFonts w:ascii="Calibri" w:hAnsi="Calibri" w:cs="Calibri"/>
                <w:sz w:val="22"/>
                <w:szCs w:val="22"/>
              </w:rPr>
              <w:t xml:space="preserve"> as an accompaniment to the above Evidence Project document. Volume I is </w:t>
            </w:r>
            <w:hyperlink r:id="rId18" w:history="1">
              <w:r w:rsidRPr="009F37C4">
                <w:rPr>
                  <w:rStyle w:val="Hyperlink"/>
                  <w:rFonts w:ascii="Calibri" w:eastAsia="Times New Roman" w:hAnsi="Calibri" w:cs="Calibri"/>
                  <w:sz w:val="22"/>
                  <w:szCs w:val="22"/>
                </w:rPr>
                <w:t>Using Data to Inform a Total Market Approach to Family Planning</w:t>
              </w:r>
            </w:hyperlink>
            <w:r w:rsidRPr="009F37C4">
              <w:rPr>
                <w:rFonts w:ascii="Calibri" w:hAnsi="Calibri" w:cs="Calibri"/>
                <w:sz w:val="22"/>
                <w:szCs w:val="22"/>
              </w:rPr>
              <w:t xml:space="preserve">, and Volume II is </w:t>
            </w:r>
            <w:hyperlink r:id="rId19" w:history="1">
              <w:r w:rsidRPr="009F37C4">
                <w:rPr>
                  <w:rStyle w:val="Hyperlink"/>
                  <w:rFonts w:ascii="Calibri" w:eastAsia="Times New Roman" w:hAnsi="Calibri" w:cs="Calibri"/>
                  <w:sz w:val="22"/>
                  <w:szCs w:val="22"/>
                </w:rPr>
                <w:t>Tools and Resources for an In-depth Analysis of the Family Planning Market</w:t>
              </w:r>
            </w:hyperlink>
            <w:r w:rsidRPr="009F37C4">
              <w:rPr>
                <w:rFonts w:ascii="Calibri" w:hAnsi="Calibri" w:cs="Calibri"/>
                <w:sz w:val="22"/>
                <w:szCs w:val="22"/>
              </w:rPr>
              <w:t xml:space="preserve">. </w:t>
            </w:r>
          </w:p>
          <w:p w14:paraId="5EC4023C" w14:textId="77777777" w:rsidR="003B6A92" w:rsidRPr="009F37C4" w:rsidRDefault="003B6A92" w:rsidP="00EC190D">
            <w:pPr>
              <w:rPr>
                <w:rFonts w:ascii="Calibri" w:hAnsi="Calibri" w:cs="Calibri"/>
                <w:color w:val="000000" w:themeColor="text1"/>
                <w:sz w:val="22"/>
                <w:szCs w:val="22"/>
              </w:rPr>
            </w:pPr>
          </w:p>
        </w:tc>
        <w:tc>
          <w:tcPr>
            <w:tcW w:w="8910" w:type="dxa"/>
          </w:tcPr>
          <w:p w14:paraId="2096A545" w14:textId="507A4633" w:rsidR="003B6A92" w:rsidRPr="009F37C4" w:rsidRDefault="007C4F0E" w:rsidP="00EC190D">
            <w:pPr>
              <w:rPr>
                <w:rFonts w:ascii="Calibri" w:hAnsi="Calibri" w:cs="Calibri"/>
                <w:sz w:val="22"/>
                <w:szCs w:val="22"/>
              </w:rPr>
            </w:pPr>
            <w:r w:rsidRPr="009F37C4">
              <w:rPr>
                <w:rFonts w:ascii="Calibri" w:hAnsi="Calibri" w:cs="Calibri"/>
                <w:color w:val="000000"/>
                <w:sz w:val="22"/>
                <w:szCs w:val="22"/>
                <w:shd w:val="clear" w:color="auto" w:fill="FFFFFF"/>
              </w:rPr>
              <w:lastRenderedPageBreak/>
              <w:t xml:space="preserve">In Morocco, the expansion of private-sector contraceptive provision was associated with a </w:t>
            </w:r>
            <w:r w:rsidRPr="009F37C4">
              <w:rPr>
                <w:rFonts w:ascii="Calibri" w:hAnsi="Calibri" w:cs="Calibri"/>
                <w:color w:val="000000" w:themeColor="text1"/>
                <w:sz w:val="22"/>
                <w:szCs w:val="22"/>
                <w:shd w:val="clear" w:color="auto" w:fill="FFFFFF"/>
              </w:rPr>
              <w:t xml:space="preserve">more equitable utilization </w:t>
            </w:r>
            <w:r w:rsidRPr="009F37C4">
              <w:rPr>
                <w:rFonts w:ascii="Calibri" w:hAnsi="Calibri" w:cs="Calibri"/>
                <w:color w:val="000000"/>
                <w:sz w:val="22"/>
                <w:szCs w:val="22"/>
                <w:shd w:val="clear" w:color="auto" w:fill="FFFFFF"/>
              </w:rPr>
              <w:t xml:space="preserve">of modern contraception across socioeconomic groups. The country’s national FP program was initiated in 1966, and the Ministry of Health committed to expanding FP access through a growing network of public health centers over the following decades. In the 1990s, commercial distributors began socially marketing OCPs to middle- and upper-income women. Some worried this would leave the poor behind in terms of </w:t>
            </w:r>
            <w:proofErr w:type="spellStart"/>
            <w:r w:rsidRPr="009F37C4">
              <w:rPr>
                <w:rFonts w:ascii="Calibri" w:hAnsi="Calibri" w:cs="Calibri"/>
                <w:color w:val="000000"/>
                <w:sz w:val="22"/>
                <w:szCs w:val="22"/>
                <w:shd w:val="clear" w:color="auto" w:fill="FFFFFF"/>
              </w:rPr>
              <w:t>mCPR</w:t>
            </w:r>
            <w:proofErr w:type="spellEnd"/>
            <w:r w:rsidRPr="009F37C4">
              <w:rPr>
                <w:rFonts w:ascii="Calibri" w:hAnsi="Calibri" w:cs="Calibri"/>
                <w:color w:val="000000"/>
                <w:sz w:val="22"/>
                <w:szCs w:val="22"/>
                <w:shd w:val="clear" w:color="auto" w:fill="FFFFFF"/>
              </w:rPr>
              <w:t>. However, Morocco’s TMA succeeded because the public sector could focus its resources on the least economically advantaged while private sector actors competed for the rest of the market. (</w:t>
            </w:r>
            <w:r w:rsidRPr="009F37C4">
              <w:rPr>
                <w:rFonts w:ascii="Calibri" w:hAnsi="Calibri" w:cs="Calibri"/>
                <w:b/>
                <w:bCs/>
                <w:sz w:val="22"/>
                <w:szCs w:val="22"/>
              </w:rPr>
              <w:t xml:space="preserve">Source: </w:t>
            </w:r>
            <w:r w:rsidRPr="009F37C4">
              <w:rPr>
                <w:rFonts w:ascii="Calibri" w:hAnsi="Calibri" w:cs="Calibri"/>
                <w:sz w:val="22"/>
                <w:szCs w:val="22"/>
              </w:rPr>
              <w:t xml:space="preserve">Sohail Agha and Mai Do, “Does an expansion in private sector contraceptive supply increase inequality in modern contraceptive </w:t>
            </w:r>
            <w:proofErr w:type="gramStart"/>
            <w:r w:rsidRPr="009F37C4">
              <w:rPr>
                <w:rFonts w:ascii="Calibri" w:hAnsi="Calibri" w:cs="Calibri"/>
                <w:sz w:val="22"/>
                <w:szCs w:val="22"/>
              </w:rPr>
              <w:t>use?,</w:t>
            </w:r>
            <w:proofErr w:type="gramEnd"/>
            <w:r w:rsidRPr="009F37C4">
              <w:rPr>
                <w:rFonts w:ascii="Calibri" w:hAnsi="Calibri" w:cs="Calibri"/>
                <w:sz w:val="22"/>
                <w:szCs w:val="22"/>
              </w:rPr>
              <w:t xml:space="preserve">” </w:t>
            </w:r>
            <w:r w:rsidRPr="009F37C4">
              <w:rPr>
                <w:rFonts w:ascii="Calibri" w:hAnsi="Calibri" w:cs="Calibri"/>
                <w:i/>
                <w:iCs/>
                <w:sz w:val="22"/>
                <w:szCs w:val="22"/>
              </w:rPr>
              <w:t>Health Policy and Planning, 23(6), M. (2008): 465–475, https://doi.org/10.1093/heapol/czn035.)</w:t>
            </w:r>
          </w:p>
        </w:tc>
      </w:tr>
      <w:tr w:rsidR="003B6A92" w:rsidRPr="009F37C4" w14:paraId="6A1FC2B8" w14:textId="77777777" w:rsidTr="00207829">
        <w:tc>
          <w:tcPr>
            <w:tcW w:w="1701" w:type="dxa"/>
          </w:tcPr>
          <w:p w14:paraId="58A4F9C9" w14:textId="3BAC4EB7" w:rsidR="003B6A92" w:rsidRPr="009F37C4" w:rsidRDefault="00C14253" w:rsidP="00EC190D">
            <w:pPr>
              <w:rPr>
                <w:rFonts w:ascii="Calibri" w:hAnsi="Calibri" w:cs="Calibri"/>
                <w:color w:val="000000" w:themeColor="text1"/>
                <w:sz w:val="22"/>
                <w:szCs w:val="22"/>
              </w:rPr>
            </w:pPr>
            <w:r w:rsidRPr="009F37C4">
              <w:rPr>
                <w:rFonts w:ascii="Calibri" w:hAnsi="Calibri" w:cs="Calibri"/>
                <w:color w:val="000000" w:themeColor="text1"/>
                <w:sz w:val="22"/>
                <w:szCs w:val="22"/>
                <w:shd w:val="clear" w:color="auto" w:fill="FFFFFF"/>
              </w:rPr>
              <w:t>Strengthen supply chains to satisfy the current and future unmet need for contraception</w:t>
            </w:r>
            <w:r w:rsidR="003D4BA2" w:rsidRPr="009F37C4">
              <w:rPr>
                <w:rFonts w:ascii="Calibri" w:hAnsi="Calibri" w:cs="Calibri"/>
                <w:color w:val="000000" w:themeColor="text1"/>
                <w:sz w:val="22"/>
                <w:szCs w:val="22"/>
                <w:shd w:val="clear" w:color="auto" w:fill="FFFFFF"/>
              </w:rPr>
              <w:t>.</w:t>
            </w:r>
          </w:p>
        </w:tc>
        <w:tc>
          <w:tcPr>
            <w:tcW w:w="2704" w:type="dxa"/>
          </w:tcPr>
          <w:p w14:paraId="35E9CC9E" w14:textId="5967ED89" w:rsidR="00C14253" w:rsidRPr="009F37C4" w:rsidRDefault="00C14253" w:rsidP="00C14253">
            <w:pPr>
              <w:spacing w:after="120"/>
              <w:rPr>
                <w:rFonts w:ascii="Calibri" w:hAnsi="Calibri" w:cs="Calibri"/>
                <w:b/>
                <w:bCs/>
                <w:color w:val="000000" w:themeColor="text1"/>
                <w:sz w:val="22"/>
                <w:szCs w:val="22"/>
              </w:rPr>
            </w:pPr>
            <w:r w:rsidRPr="009F37C4">
              <w:rPr>
                <w:rFonts w:ascii="Calibri" w:hAnsi="Calibri" w:cs="Calibri"/>
                <w:color w:val="000000" w:themeColor="text1"/>
                <w:sz w:val="22"/>
                <w:szCs w:val="22"/>
              </w:rPr>
              <w:t xml:space="preserve">The HIP Partnership has curated a thorough </w:t>
            </w:r>
            <w:hyperlink r:id="rId20" w:history="1">
              <w:r w:rsidRPr="009F37C4">
                <w:rPr>
                  <w:rStyle w:val="Hyperlink"/>
                  <w:rFonts w:ascii="Calibri" w:eastAsia="Times New Roman" w:hAnsi="Calibri" w:cs="Calibri"/>
                  <w:sz w:val="22"/>
                  <w:szCs w:val="22"/>
                </w:rPr>
                <w:t>guide on supply chain management</w:t>
              </w:r>
            </w:hyperlink>
            <w:r w:rsidRPr="009F37C4">
              <w:rPr>
                <w:rFonts w:ascii="Calibri" w:hAnsi="Calibri" w:cs="Calibri"/>
                <w:color w:val="000000" w:themeColor="text1"/>
                <w:sz w:val="22"/>
                <w:szCs w:val="22"/>
              </w:rPr>
              <w:t>.</w:t>
            </w:r>
          </w:p>
          <w:p w14:paraId="4C0F7760" w14:textId="77777777" w:rsidR="003B6A92" w:rsidRPr="009F37C4" w:rsidRDefault="003B6A92" w:rsidP="00EC190D">
            <w:pPr>
              <w:rPr>
                <w:rFonts w:ascii="Calibri" w:hAnsi="Calibri" w:cs="Calibri"/>
                <w:color w:val="000000" w:themeColor="text1"/>
                <w:sz w:val="22"/>
                <w:szCs w:val="22"/>
              </w:rPr>
            </w:pPr>
          </w:p>
        </w:tc>
        <w:tc>
          <w:tcPr>
            <w:tcW w:w="8910" w:type="dxa"/>
          </w:tcPr>
          <w:p w14:paraId="0863722C" w14:textId="77777777" w:rsidR="003B6A92" w:rsidRPr="009F37C4" w:rsidRDefault="003B6A92" w:rsidP="00EC190D">
            <w:pPr>
              <w:rPr>
                <w:rFonts w:ascii="Calibri" w:hAnsi="Calibri" w:cs="Calibri"/>
                <w:sz w:val="22"/>
                <w:szCs w:val="22"/>
              </w:rPr>
            </w:pPr>
          </w:p>
        </w:tc>
      </w:tr>
      <w:tr w:rsidR="003B6A92" w:rsidRPr="009F37C4" w14:paraId="2172BAB0" w14:textId="77777777" w:rsidTr="00207829">
        <w:tc>
          <w:tcPr>
            <w:tcW w:w="1701" w:type="dxa"/>
          </w:tcPr>
          <w:p w14:paraId="1A0C82CF" w14:textId="5C54852A" w:rsidR="003B6A92" w:rsidRPr="009F37C4" w:rsidRDefault="00BF7249" w:rsidP="00EC190D">
            <w:pPr>
              <w:rPr>
                <w:rFonts w:ascii="Calibri" w:hAnsi="Calibri" w:cs="Calibri"/>
                <w:color w:val="000000" w:themeColor="text1"/>
                <w:sz w:val="22"/>
                <w:szCs w:val="22"/>
              </w:rPr>
            </w:pPr>
            <w:r w:rsidRPr="009F37C4">
              <w:rPr>
                <w:rFonts w:ascii="Calibri" w:hAnsi="Calibri" w:cs="Calibri"/>
                <w:sz w:val="22"/>
                <w:szCs w:val="22"/>
              </w:rPr>
              <w:t>Alleviate the cost associated with accessing FP with targeted voucher programs</w:t>
            </w:r>
            <w:r w:rsidR="003D4BA2" w:rsidRPr="009F37C4">
              <w:rPr>
                <w:rFonts w:ascii="Calibri" w:hAnsi="Calibri" w:cs="Calibri"/>
                <w:sz w:val="22"/>
                <w:szCs w:val="22"/>
              </w:rPr>
              <w:t>.</w:t>
            </w:r>
          </w:p>
        </w:tc>
        <w:tc>
          <w:tcPr>
            <w:tcW w:w="2704" w:type="dxa"/>
          </w:tcPr>
          <w:p w14:paraId="6D03094D" w14:textId="77777777" w:rsidR="003B6A92" w:rsidRPr="009F37C4" w:rsidRDefault="003B6A92" w:rsidP="00EC190D">
            <w:pPr>
              <w:rPr>
                <w:rFonts w:ascii="Calibri" w:hAnsi="Calibri" w:cs="Calibri"/>
                <w:color w:val="000000" w:themeColor="text1"/>
                <w:sz w:val="22"/>
                <w:szCs w:val="22"/>
              </w:rPr>
            </w:pPr>
          </w:p>
        </w:tc>
        <w:tc>
          <w:tcPr>
            <w:tcW w:w="8910" w:type="dxa"/>
          </w:tcPr>
          <w:p w14:paraId="19EEC7CA" w14:textId="77777777" w:rsidR="00BF7249" w:rsidRPr="009F37C4" w:rsidRDefault="00BF7249" w:rsidP="00EC190D">
            <w:pPr>
              <w:rPr>
                <w:rFonts w:ascii="Calibri" w:hAnsi="Calibri" w:cs="Calibri"/>
                <w:color w:val="000000"/>
                <w:sz w:val="22"/>
                <w:szCs w:val="22"/>
                <w:shd w:val="clear" w:color="auto" w:fill="FFFFFF"/>
              </w:rPr>
            </w:pPr>
            <w:r w:rsidRPr="009F37C4">
              <w:rPr>
                <w:rFonts w:ascii="Calibri" w:hAnsi="Calibri" w:cs="Calibri"/>
                <w:color w:val="000000"/>
                <w:sz w:val="22"/>
                <w:szCs w:val="22"/>
                <w:shd w:val="clear" w:color="auto" w:fill="FFFFFF"/>
              </w:rPr>
              <w:t xml:space="preserve">In the 1970s, Tunisia’s FP voucher program improved the delivery and uptake of contraception among rural populations. Through the program, women were visited at home and counseled on contraceptive options. Those who expressed interest in an IUD or tubal ligation were given a voucher to receive these services at a convenient public facility. In just two years, the </w:t>
            </w:r>
            <w:proofErr w:type="spellStart"/>
            <w:r w:rsidRPr="009F37C4">
              <w:rPr>
                <w:rFonts w:ascii="Calibri" w:hAnsi="Calibri" w:cs="Calibri"/>
                <w:color w:val="000000"/>
                <w:sz w:val="22"/>
                <w:szCs w:val="22"/>
                <w:shd w:val="clear" w:color="auto" w:fill="FFFFFF"/>
              </w:rPr>
              <w:t>mCPR</w:t>
            </w:r>
            <w:proofErr w:type="spellEnd"/>
            <w:r w:rsidRPr="009F37C4">
              <w:rPr>
                <w:rFonts w:ascii="Calibri" w:hAnsi="Calibri" w:cs="Calibri"/>
                <w:color w:val="000000"/>
                <w:sz w:val="22"/>
                <w:szCs w:val="22"/>
                <w:shd w:val="clear" w:color="auto" w:fill="FFFFFF"/>
              </w:rPr>
              <w:t xml:space="preserve"> within the targeted group increased from 6.6% to 21%.</w:t>
            </w:r>
          </w:p>
          <w:p w14:paraId="2888C177" w14:textId="2F914398" w:rsidR="003B6A92" w:rsidRPr="009F37C4" w:rsidRDefault="00BF7249" w:rsidP="00EC190D">
            <w:pPr>
              <w:rPr>
                <w:rFonts w:ascii="Calibri" w:hAnsi="Calibri" w:cs="Calibri"/>
                <w:sz w:val="22"/>
                <w:szCs w:val="22"/>
              </w:rPr>
            </w:pPr>
            <w:r w:rsidRPr="009F37C4">
              <w:rPr>
                <w:rFonts w:ascii="Calibri" w:hAnsi="Calibri" w:cs="Calibri"/>
                <w:color w:val="000000"/>
                <w:sz w:val="22"/>
                <w:szCs w:val="22"/>
                <w:shd w:val="clear" w:color="auto" w:fill="FFFFFF"/>
              </w:rPr>
              <w:t>(</w:t>
            </w:r>
            <w:r w:rsidRPr="009F37C4">
              <w:rPr>
                <w:rFonts w:ascii="Calibri" w:hAnsi="Calibri" w:cs="Calibri"/>
                <w:b/>
                <w:bCs/>
                <w:sz w:val="22"/>
                <w:szCs w:val="22"/>
              </w:rPr>
              <w:t xml:space="preserve">Source: </w:t>
            </w:r>
            <w:r w:rsidRPr="009F37C4">
              <w:rPr>
                <w:rFonts w:ascii="Calibri" w:hAnsi="Calibri" w:cs="Calibri"/>
                <w:sz w:val="22"/>
                <w:szCs w:val="22"/>
              </w:rPr>
              <w:t>Benjamin</w:t>
            </w:r>
            <w:r w:rsidRPr="009F37C4">
              <w:rPr>
                <w:rFonts w:ascii="Calibri" w:hAnsi="Calibri" w:cs="Calibri"/>
                <w:b/>
                <w:bCs/>
                <w:sz w:val="22"/>
                <w:szCs w:val="22"/>
              </w:rPr>
              <w:t xml:space="preserve"> </w:t>
            </w:r>
            <w:r w:rsidRPr="009F37C4">
              <w:rPr>
                <w:rFonts w:ascii="Calibri" w:hAnsi="Calibri" w:cs="Calibri"/>
                <w:sz w:val="22"/>
                <w:szCs w:val="22"/>
              </w:rPr>
              <w:t xml:space="preserve">Bellows, Ashish Bajracharya, Carol Bulaya et al., </w:t>
            </w:r>
            <w:r w:rsidRPr="009F37C4">
              <w:rPr>
                <w:rFonts w:ascii="Calibri" w:hAnsi="Calibri" w:cs="Calibri"/>
                <w:i/>
                <w:iCs/>
                <w:sz w:val="22"/>
                <w:szCs w:val="22"/>
              </w:rPr>
              <w:t>Family planning vouchers to improve delivery and uptake of contraception in low- and middle-income countries: A systematic review</w:t>
            </w:r>
            <w:r w:rsidRPr="009F37C4">
              <w:rPr>
                <w:rFonts w:ascii="Calibri" w:hAnsi="Calibri" w:cs="Calibri"/>
                <w:sz w:val="22"/>
                <w:szCs w:val="22"/>
              </w:rPr>
              <w:t>, Evidence Study Report (Lusaka: Population Council, 2015), https://doi.org/10.31899/rh9.1048)</w:t>
            </w:r>
          </w:p>
        </w:tc>
      </w:tr>
      <w:tr w:rsidR="003B6A92" w:rsidRPr="009F37C4" w14:paraId="29EA2D0E" w14:textId="77777777" w:rsidTr="00207829">
        <w:tc>
          <w:tcPr>
            <w:tcW w:w="1701" w:type="dxa"/>
          </w:tcPr>
          <w:p w14:paraId="762217AC" w14:textId="31858F6C" w:rsidR="003B6A92" w:rsidRPr="009F37C4" w:rsidRDefault="00BF7249" w:rsidP="00EC190D">
            <w:pPr>
              <w:rPr>
                <w:rFonts w:ascii="Calibri" w:hAnsi="Calibri" w:cs="Calibri"/>
                <w:color w:val="000000" w:themeColor="text1"/>
                <w:sz w:val="22"/>
                <w:szCs w:val="22"/>
              </w:rPr>
            </w:pPr>
            <w:r w:rsidRPr="009F37C4">
              <w:rPr>
                <w:rFonts w:ascii="Calibri" w:hAnsi="Calibri" w:cs="Calibri"/>
                <w:color w:val="000000" w:themeColor="text1"/>
                <w:sz w:val="22"/>
                <w:szCs w:val="22"/>
              </w:rPr>
              <w:t>Educational policy should frame SRHR learning as part of acquiring necessary life skills</w:t>
            </w:r>
            <w:r w:rsidR="003D4BA2" w:rsidRPr="009F37C4">
              <w:rPr>
                <w:rFonts w:ascii="Calibri" w:hAnsi="Calibri" w:cs="Calibri"/>
                <w:color w:val="000000" w:themeColor="text1"/>
                <w:sz w:val="22"/>
                <w:szCs w:val="22"/>
              </w:rPr>
              <w:t>.</w:t>
            </w:r>
          </w:p>
        </w:tc>
        <w:tc>
          <w:tcPr>
            <w:tcW w:w="2704" w:type="dxa"/>
          </w:tcPr>
          <w:p w14:paraId="14F318B3" w14:textId="4B2EF5F9" w:rsidR="003B6A92" w:rsidRPr="009F37C4" w:rsidRDefault="00D77283" w:rsidP="00D77283">
            <w:pPr>
              <w:spacing w:after="120"/>
              <w:rPr>
                <w:rFonts w:ascii="Calibri" w:hAnsi="Calibri" w:cs="Calibri"/>
                <w:color w:val="000000" w:themeColor="text1"/>
                <w:sz w:val="22"/>
                <w:szCs w:val="22"/>
              </w:rPr>
            </w:pPr>
            <w:r w:rsidRPr="009F37C4">
              <w:rPr>
                <w:rFonts w:ascii="Calibri" w:hAnsi="Calibri" w:cs="Calibri"/>
                <w:sz w:val="22"/>
                <w:szCs w:val="22"/>
              </w:rPr>
              <w:t xml:space="preserve">UNFPA put out a report called </w:t>
            </w:r>
            <w:hyperlink r:id="rId21" w:history="1">
              <w:r w:rsidRPr="009F37C4">
                <w:rPr>
                  <w:rStyle w:val="Hyperlink"/>
                  <w:rFonts w:ascii="Calibri" w:eastAsia="Times New Roman" w:hAnsi="Calibri" w:cs="Calibri"/>
                  <w:sz w:val="22"/>
                  <w:szCs w:val="22"/>
                </w:rPr>
                <w:t>Between 3eib and Marriage: Navigating Comprehensive Sexuality Education in the Arab Region</w:t>
              </w:r>
            </w:hyperlink>
            <w:r w:rsidRPr="009F37C4">
              <w:rPr>
                <w:rFonts w:ascii="Calibri" w:hAnsi="Calibri" w:cs="Calibri"/>
                <w:i/>
                <w:iCs/>
                <w:sz w:val="22"/>
                <w:szCs w:val="22"/>
              </w:rPr>
              <w:t xml:space="preserve"> </w:t>
            </w:r>
            <w:r w:rsidRPr="009F37C4">
              <w:rPr>
                <w:rFonts w:ascii="Calibri" w:hAnsi="Calibri" w:cs="Calibri"/>
                <w:sz w:val="22"/>
                <w:szCs w:val="22"/>
              </w:rPr>
              <w:t>in 2020.</w:t>
            </w:r>
          </w:p>
        </w:tc>
        <w:tc>
          <w:tcPr>
            <w:tcW w:w="8910" w:type="dxa"/>
          </w:tcPr>
          <w:p w14:paraId="4D073E34" w14:textId="23F5462C" w:rsidR="003B6A92" w:rsidRPr="009F37C4" w:rsidRDefault="00D77283" w:rsidP="00EC190D">
            <w:pPr>
              <w:rPr>
                <w:rFonts w:ascii="Calibri" w:hAnsi="Calibri" w:cs="Calibri"/>
                <w:sz w:val="22"/>
                <w:szCs w:val="22"/>
              </w:rPr>
            </w:pPr>
            <w:r w:rsidRPr="009F37C4">
              <w:rPr>
                <w:rFonts w:ascii="Calibri" w:hAnsi="Calibri" w:cs="Calibri"/>
                <w:sz w:val="22"/>
                <w:szCs w:val="22"/>
              </w:rPr>
              <w:t>In 2019, Tunisia became the first Arab nation to provide sex education for all elementary and middle school students. The</w:t>
            </w:r>
            <w:r w:rsidRPr="009F37C4">
              <w:rPr>
                <w:rFonts w:ascii="Calibri" w:hAnsi="Calibri" w:cs="Calibri"/>
                <w:i/>
                <w:iCs/>
                <w:sz w:val="22"/>
                <w:szCs w:val="22"/>
              </w:rPr>
              <w:t xml:space="preserve"> Washington Post</w:t>
            </w:r>
            <w:r w:rsidRPr="009F37C4">
              <w:rPr>
                <w:rFonts w:ascii="Calibri" w:hAnsi="Calibri" w:cs="Calibri"/>
                <w:sz w:val="22"/>
                <w:szCs w:val="22"/>
              </w:rPr>
              <w:t xml:space="preserve"> reports that the curriculum involves young people “learning about their bodies in a biological and religious-based way in hopes of protecting them from sexual harassment, catcalling, rape and molestation.” This may serve as a good regional case study for authorities in Jordan. (</w:t>
            </w:r>
            <w:r w:rsidRPr="009F37C4">
              <w:rPr>
                <w:rFonts w:ascii="Calibri" w:hAnsi="Calibri" w:cs="Calibri"/>
                <w:b/>
                <w:bCs/>
                <w:sz w:val="22"/>
                <w:szCs w:val="22"/>
              </w:rPr>
              <w:t xml:space="preserve">Source: </w:t>
            </w:r>
            <w:r w:rsidRPr="009F37C4">
              <w:rPr>
                <w:rFonts w:ascii="Calibri" w:hAnsi="Calibri" w:cs="Calibri"/>
                <w:sz w:val="22"/>
                <w:szCs w:val="22"/>
              </w:rPr>
              <w:t xml:space="preserve">Lateshia Beachum, Tunisia launches a state-sponsored sex-education program, a rarity in the Arab world,” </w:t>
            </w:r>
            <w:r w:rsidRPr="009F37C4">
              <w:rPr>
                <w:rFonts w:ascii="Calibri" w:hAnsi="Calibri" w:cs="Calibri"/>
                <w:i/>
                <w:iCs/>
                <w:sz w:val="22"/>
                <w:szCs w:val="22"/>
              </w:rPr>
              <w:t xml:space="preserve">Washington Post, </w:t>
            </w:r>
            <w:r w:rsidRPr="009F37C4">
              <w:rPr>
                <w:rFonts w:ascii="Calibri" w:hAnsi="Calibri" w:cs="Calibri"/>
                <w:sz w:val="22"/>
                <w:szCs w:val="22"/>
              </w:rPr>
              <w:t>December 19, 2019, https://www.washingtonpost.com/world/2019/12/05/tunisia-launches-state-sponsored-sex-education-program-rarity-arab-world/.)</w:t>
            </w:r>
          </w:p>
        </w:tc>
      </w:tr>
      <w:tr w:rsidR="003B6A92" w:rsidRPr="009F37C4" w14:paraId="6A897DA8" w14:textId="77777777" w:rsidTr="00207829">
        <w:tc>
          <w:tcPr>
            <w:tcW w:w="1701" w:type="dxa"/>
          </w:tcPr>
          <w:p w14:paraId="1EBB296A" w14:textId="6BDC030A" w:rsidR="003B6A92" w:rsidRPr="009F37C4" w:rsidRDefault="00500B56" w:rsidP="00EC190D">
            <w:pPr>
              <w:rPr>
                <w:rFonts w:ascii="Calibri" w:hAnsi="Calibri" w:cs="Calibri"/>
                <w:color w:val="000000" w:themeColor="text1"/>
                <w:sz w:val="22"/>
                <w:szCs w:val="22"/>
              </w:rPr>
            </w:pPr>
            <w:r w:rsidRPr="009F37C4">
              <w:rPr>
                <w:rFonts w:ascii="Calibri" w:hAnsi="Calibri" w:cs="Calibri"/>
                <w:color w:val="000000" w:themeColor="text1"/>
                <w:sz w:val="22"/>
                <w:szCs w:val="22"/>
              </w:rPr>
              <w:t xml:space="preserve">Establish forums for youth to communicate </w:t>
            </w:r>
            <w:r w:rsidRPr="009F37C4">
              <w:rPr>
                <w:rFonts w:ascii="Calibri" w:hAnsi="Calibri" w:cs="Calibri"/>
                <w:color w:val="000000" w:themeColor="text1"/>
                <w:sz w:val="22"/>
                <w:szCs w:val="22"/>
              </w:rPr>
              <w:lastRenderedPageBreak/>
              <w:t xml:space="preserve">their needs to </w:t>
            </w:r>
            <w:proofErr w:type="gramStart"/>
            <w:r w:rsidRPr="009F37C4">
              <w:rPr>
                <w:rFonts w:ascii="Calibri" w:hAnsi="Calibri" w:cs="Calibri"/>
                <w:color w:val="000000" w:themeColor="text1"/>
                <w:sz w:val="22"/>
                <w:szCs w:val="22"/>
              </w:rPr>
              <w:t>policy-makers</w:t>
            </w:r>
            <w:proofErr w:type="gramEnd"/>
            <w:r w:rsidRPr="009F37C4">
              <w:rPr>
                <w:rFonts w:ascii="Calibri" w:hAnsi="Calibri" w:cs="Calibri"/>
                <w:color w:val="000000" w:themeColor="text1"/>
                <w:sz w:val="22"/>
                <w:szCs w:val="22"/>
              </w:rPr>
              <w:t xml:space="preserve"> and other groups working on awareness and</w:t>
            </w:r>
            <w:r w:rsidRPr="009F37C4">
              <w:rPr>
                <w:rFonts w:ascii="Calibri" w:hAnsi="Calibri" w:cs="Calibri"/>
                <w:b/>
                <w:bCs/>
                <w:color w:val="000000" w:themeColor="text1"/>
                <w:sz w:val="22"/>
                <w:szCs w:val="22"/>
              </w:rPr>
              <w:t xml:space="preserve"> </w:t>
            </w:r>
            <w:r w:rsidRPr="009F37C4">
              <w:rPr>
                <w:rFonts w:ascii="Calibri" w:hAnsi="Calibri" w:cs="Calibri"/>
                <w:color w:val="000000" w:themeColor="text1"/>
                <w:sz w:val="22"/>
                <w:szCs w:val="22"/>
              </w:rPr>
              <w:t>educational programs</w:t>
            </w:r>
            <w:r w:rsidR="003D4BA2" w:rsidRPr="009F37C4">
              <w:rPr>
                <w:rFonts w:ascii="Calibri" w:hAnsi="Calibri" w:cs="Calibri"/>
                <w:color w:val="000000" w:themeColor="text1"/>
                <w:sz w:val="22"/>
                <w:szCs w:val="22"/>
              </w:rPr>
              <w:t>.</w:t>
            </w:r>
          </w:p>
        </w:tc>
        <w:tc>
          <w:tcPr>
            <w:tcW w:w="2704" w:type="dxa"/>
          </w:tcPr>
          <w:p w14:paraId="0D308135" w14:textId="27884871" w:rsidR="003B6A92" w:rsidRPr="009F37C4" w:rsidRDefault="0074780E" w:rsidP="00EC190D">
            <w:pPr>
              <w:rPr>
                <w:rFonts w:ascii="Calibri" w:hAnsi="Calibri" w:cs="Calibri"/>
                <w:color w:val="000000" w:themeColor="text1"/>
                <w:sz w:val="22"/>
                <w:szCs w:val="22"/>
              </w:rPr>
            </w:pPr>
            <w:r w:rsidRPr="009F37C4">
              <w:rPr>
                <w:rFonts w:ascii="Calibri" w:hAnsi="Calibri" w:cs="Calibri"/>
                <w:color w:val="000000" w:themeColor="text1"/>
                <w:sz w:val="22"/>
                <w:szCs w:val="22"/>
              </w:rPr>
              <w:lastRenderedPageBreak/>
              <w:t xml:space="preserve">E2A developed the </w:t>
            </w:r>
            <w:hyperlink r:id="rId22" w:history="1">
              <w:r w:rsidRPr="009F37C4">
                <w:rPr>
                  <w:rStyle w:val="Hyperlink"/>
                  <w:rFonts w:ascii="Calibri" w:eastAsia="Times New Roman" w:hAnsi="Calibri" w:cs="Calibri"/>
                  <w:sz w:val="22"/>
                  <w:szCs w:val="22"/>
                </w:rPr>
                <w:t>Tool for AYRH-Responsive Planning</w:t>
              </w:r>
            </w:hyperlink>
            <w:r w:rsidRPr="009F37C4">
              <w:rPr>
                <w:rFonts w:ascii="Calibri" w:hAnsi="Calibri" w:cs="Calibri"/>
                <w:color w:val="FF0000"/>
                <w:sz w:val="22"/>
                <w:szCs w:val="22"/>
              </w:rPr>
              <w:t xml:space="preserve"> </w:t>
            </w:r>
            <w:r w:rsidRPr="009F37C4">
              <w:rPr>
                <w:rFonts w:ascii="Calibri" w:hAnsi="Calibri" w:cs="Calibri"/>
                <w:color w:val="000000" w:themeColor="text1"/>
                <w:sz w:val="22"/>
                <w:szCs w:val="22"/>
              </w:rPr>
              <w:t xml:space="preserve">to facilitate youth </w:t>
            </w:r>
            <w:r w:rsidRPr="009F37C4">
              <w:rPr>
                <w:rFonts w:ascii="Calibri" w:hAnsi="Calibri" w:cs="Calibri"/>
                <w:color w:val="000000" w:themeColor="text1"/>
                <w:sz w:val="22"/>
                <w:szCs w:val="22"/>
              </w:rPr>
              <w:lastRenderedPageBreak/>
              <w:t>participation in evidence-based advocacy. The goal is for national policies to be more responsive to AYSRH needs.</w:t>
            </w:r>
          </w:p>
        </w:tc>
        <w:tc>
          <w:tcPr>
            <w:tcW w:w="8910" w:type="dxa"/>
          </w:tcPr>
          <w:p w14:paraId="18D97C7D" w14:textId="49F21233" w:rsidR="003B6A92" w:rsidRPr="009F37C4" w:rsidRDefault="0074780E" w:rsidP="00EC190D">
            <w:pPr>
              <w:rPr>
                <w:rFonts w:ascii="Calibri" w:hAnsi="Calibri" w:cs="Calibri"/>
                <w:sz w:val="22"/>
                <w:szCs w:val="22"/>
              </w:rPr>
            </w:pPr>
            <w:r w:rsidRPr="009F37C4">
              <w:rPr>
                <w:rFonts w:ascii="Calibri" w:hAnsi="Calibri" w:cs="Calibri"/>
                <w:color w:val="000000" w:themeColor="text1"/>
                <w:sz w:val="22"/>
                <w:szCs w:val="22"/>
              </w:rPr>
              <w:lastRenderedPageBreak/>
              <w:t xml:space="preserve">The </w:t>
            </w:r>
            <w:hyperlink r:id="rId23" w:history="1">
              <w:r w:rsidRPr="009F37C4">
                <w:rPr>
                  <w:rStyle w:val="Hyperlink"/>
                  <w:rFonts w:ascii="Calibri" w:hAnsi="Calibri" w:cs="Calibri"/>
                  <w:sz w:val="22"/>
                  <w:szCs w:val="22"/>
                </w:rPr>
                <w:t>University Leadership for Change</w:t>
              </w:r>
            </w:hyperlink>
            <w:r w:rsidRPr="009F37C4">
              <w:rPr>
                <w:rFonts w:ascii="Calibri" w:hAnsi="Calibri" w:cs="Calibri"/>
                <w:sz w:val="22"/>
                <w:szCs w:val="22"/>
              </w:rPr>
              <w:t xml:space="preserve"> program in Niger got young adults involved in designing needs-responsive SRH services at their university. Building competency and confidence helped young people overcome “the prevailing social and cultural norms of silence” around sexuality. </w:t>
            </w:r>
            <w:r w:rsidRPr="009F37C4">
              <w:rPr>
                <w:rFonts w:ascii="Calibri" w:hAnsi="Calibri" w:cs="Calibri"/>
                <w:sz w:val="22"/>
                <w:szCs w:val="22"/>
              </w:rPr>
              <w:lastRenderedPageBreak/>
              <w:t>(</w:t>
            </w:r>
            <w:r w:rsidRPr="009F37C4">
              <w:rPr>
                <w:rFonts w:ascii="Calibri" w:hAnsi="Calibri" w:cs="Calibri"/>
                <w:b/>
                <w:bCs/>
                <w:sz w:val="22"/>
                <w:szCs w:val="22"/>
              </w:rPr>
              <w:t xml:space="preserve">Source: </w:t>
            </w:r>
            <w:r w:rsidRPr="009F37C4">
              <w:rPr>
                <w:rFonts w:ascii="Calibri" w:hAnsi="Calibri" w:cs="Calibri"/>
                <w:i/>
                <w:iCs/>
                <w:sz w:val="22"/>
                <w:szCs w:val="22"/>
              </w:rPr>
              <w:t>Driving the Next Generation of Global Family Planning Programs: Evidence to Action (E2A) Project Final Report,</w:t>
            </w:r>
            <w:r w:rsidRPr="009F37C4">
              <w:rPr>
                <w:rFonts w:ascii="Calibri" w:hAnsi="Calibri" w:cs="Calibri"/>
                <w:sz w:val="22"/>
                <w:szCs w:val="22"/>
              </w:rPr>
              <w:t xml:space="preserve"> USAID and E2A, June 2021, https://msh.org/wp-content/uploads/2021/08/e2afinalreportjune2021.pdf.)</w:t>
            </w:r>
          </w:p>
        </w:tc>
      </w:tr>
      <w:tr w:rsidR="0074780E" w:rsidRPr="009F37C4" w14:paraId="76633E66" w14:textId="77777777" w:rsidTr="00207829">
        <w:tc>
          <w:tcPr>
            <w:tcW w:w="1701" w:type="dxa"/>
          </w:tcPr>
          <w:p w14:paraId="41BAA291" w14:textId="726D8A8B" w:rsidR="0074780E" w:rsidRPr="009F37C4" w:rsidRDefault="00326957" w:rsidP="0074780E">
            <w:pPr>
              <w:rPr>
                <w:rFonts w:ascii="Calibri" w:hAnsi="Calibri" w:cs="Calibri"/>
                <w:color w:val="000000" w:themeColor="text1"/>
                <w:sz w:val="22"/>
                <w:szCs w:val="22"/>
              </w:rPr>
            </w:pPr>
            <w:r w:rsidRPr="009F37C4">
              <w:rPr>
                <w:rFonts w:ascii="Calibri" w:hAnsi="Calibri" w:cs="Calibri"/>
                <w:color w:val="000000" w:themeColor="text1"/>
                <w:sz w:val="22"/>
                <w:szCs w:val="22"/>
              </w:rPr>
              <w:lastRenderedPageBreak/>
              <w:t>Use legal mechanisms to counter child marriage wherever it is prevalent, e.g., in Jordanian, Syrian, Bedouin, or other communities</w:t>
            </w:r>
            <w:r w:rsidR="003D4BA2" w:rsidRPr="009F37C4">
              <w:rPr>
                <w:rFonts w:ascii="Calibri" w:hAnsi="Calibri" w:cs="Calibri"/>
                <w:color w:val="000000" w:themeColor="text1"/>
                <w:sz w:val="22"/>
                <w:szCs w:val="22"/>
              </w:rPr>
              <w:t>.</w:t>
            </w:r>
          </w:p>
        </w:tc>
        <w:tc>
          <w:tcPr>
            <w:tcW w:w="2704" w:type="dxa"/>
          </w:tcPr>
          <w:p w14:paraId="7E69F400" w14:textId="3F7AC47F" w:rsidR="00326957" w:rsidRPr="009F37C4" w:rsidRDefault="00326957" w:rsidP="00326957">
            <w:pPr>
              <w:spacing w:after="120"/>
              <w:rPr>
                <w:rFonts w:ascii="Calibri" w:hAnsi="Calibri" w:cs="Calibri"/>
                <w:sz w:val="22"/>
                <w:szCs w:val="22"/>
              </w:rPr>
            </w:pPr>
            <w:r w:rsidRPr="009F37C4">
              <w:rPr>
                <w:rFonts w:ascii="Calibri" w:hAnsi="Calibri" w:cs="Calibri"/>
                <w:sz w:val="22"/>
                <w:szCs w:val="22"/>
              </w:rPr>
              <w:t xml:space="preserve">More information on the intersections of law and child marriage can be found on the website </w:t>
            </w:r>
            <w:hyperlink r:id="rId24" w:history="1">
              <w:r w:rsidRPr="009F37C4">
                <w:rPr>
                  <w:rStyle w:val="Hyperlink"/>
                  <w:rFonts w:ascii="Calibri" w:eastAsia="Times New Roman" w:hAnsi="Calibri" w:cs="Calibri"/>
                  <w:sz w:val="22"/>
                  <w:szCs w:val="22"/>
                </w:rPr>
                <w:t>Girls Not Brides</w:t>
              </w:r>
            </w:hyperlink>
            <w:r w:rsidRPr="009F37C4">
              <w:rPr>
                <w:rFonts w:ascii="Calibri" w:hAnsi="Calibri" w:cs="Calibri"/>
                <w:i/>
                <w:iCs/>
                <w:sz w:val="22"/>
                <w:szCs w:val="22"/>
              </w:rPr>
              <w:t>.</w:t>
            </w:r>
          </w:p>
          <w:p w14:paraId="2FFB6500" w14:textId="77777777" w:rsidR="0074780E" w:rsidRPr="009F37C4" w:rsidRDefault="0074780E" w:rsidP="0074780E">
            <w:pPr>
              <w:rPr>
                <w:rFonts w:ascii="Calibri" w:hAnsi="Calibri" w:cs="Calibri"/>
                <w:color w:val="000000" w:themeColor="text1"/>
                <w:sz w:val="22"/>
                <w:szCs w:val="22"/>
              </w:rPr>
            </w:pPr>
          </w:p>
        </w:tc>
        <w:tc>
          <w:tcPr>
            <w:tcW w:w="8910" w:type="dxa"/>
            <w:vAlign w:val="center"/>
          </w:tcPr>
          <w:p w14:paraId="5A5E800C" w14:textId="35E671E7" w:rsidR="0074780E" w:rsidRPr="009F37C4" w:rsidRDefault="0074780E" w:rsidP="0074780E">
            <w:pPr>
              <w:rPr>
                <w:rFonts w:ascii="Calibri" w:hAnsi="Calibri" w:cs="Calibri"/>
                <w:sz w:val="22"/>
                <w:szCs w:val="22"/>
              </w:rPr>
            </w:pPr>
          </w:p>
        </w:tc>
      </w:tr>
      <w:tr w:rsidR="0074780E" w:rsidRPr="009F37C4" w14:paraId="35E88ACE" w14:textId="77777777" w:rsidTr="00207829">
        <w:tc>
          <w:tcPr>
            <w:tcW w:w="1701" w:type="dxa"/>
          </w:tcPr>
          <w:p w14:paraId="77C855AA" w14:textId="6EE60E49" w:rsidR="0074780E" w:rsidRPr="009F37C4" w:rsidRDefault="00326957" w:rsidP="0074780E">
            <w:pPr>
              <w:rPr>
                <w:rFonts w:ascii="Calibri" w:hAnsi="Calibri" w:cs="Calibri"/>
                <w:color w:val="000000" w:themeColor="text1"/>
                <w:sz w:val="22"/>
                <w:szCs w:val="22"/>
              </w:rPr>
            </w:pPr>
            <w:r w:rsidRPr="009F37C4">
              <w:rPr>
                <w:rFonts w:ascii="Calibri" w:hAnsi="Calibri" w:cs="Calibri"/>
                <w:color w:val="000000" w:themeColor="text1"/>
                <w:sz w:val="22"/>
                <w:szCs w:val="22"/>
              </w:rPr>
              <w:t>Liberalize the provision of SRH services by setting “the fewest possible restrictions on when, where, and by whom FP services are provided.”</w:t>
            </w:r>
          </w:p>
        </w:tc>
        <w:tc>
          <w:tcPr>
            <w:tcW w:w="2704" w:type="dxa"/>
          </w:tcPr>
          <w:p w14:paraId="5B8B654D" w14:textId="3D91755A" w:rsidR="0074780E" w:rsidRPr="009F37C4" w:rsidRDefault="00326957" w:rsidP="0074780E">
            <w:pPr>
              <w:rPr>
                <w:rFonts w:ascii="Calibri" w:hAnsi="Calibri" w:cs="Calibri"/>
                <w:color w:val="000000" w:themeColor="text1"/>
                <w:sz w:val="22"/>
                <w:szCs w:val="22"/>
              </w:rPr>
            </w:pPr>
            <w:r w:rsidRPr="009F37C4">
              <w:rPr>
                <w:rFonts w:ascii="Calibri" w:hAnsi="Calibri" w:cs="Calibri"/>
                <w:sz w:val="22"/>
                <w:szCs w:val="22"/>
              </w:rPr>
              <w:t xml:space="preserve">WHO put out </w:t>
            </w:r>
            <w:hyperlink r:id="rId25" w:history="1">
              <w:r w:rsidRPr="009F37C4">
                <w:rPr>
                  <w:rStyle w:val="Hyperlink"/>
                  <w:rFonts w:ascii="Calibri" w:eastAsia="Times New Roman" w:hAnsi="Calibri" w:cs="Calibri"/>
                  <w:sz w:val="22"/>
                  <w:szCs w:val="22"/>
                </w:rPr>
                <w:t xml:space="preserve">Making decisions about contraceptive introduction: A guide for conducting assessments to broaden contraceptive choice and improve quality of care </w:t>
              </w:r>
            </w:hyperlink>
            <w:r w:rsidRPr="009F37C4">
              <w:rPr>
                <w:rFonts w:ascii="Calibri" w:hAnsi="Calibri" w:cs="Calibri"/>
                <w:sz w:val="22"/>
                <w:szCs w:val="22"/>
              </w:rPr>
              <w:t xml:space="preserve"> in 2002. In the first decade after its publication, this guide was used effectively by more than 20 nations.</w:t>
            </w:r>
          </w:p>
        </w:tc>
        <w:tc>
          <w:tcPr>
            <w:tcW w:w="8910" w:type="dxa"/>
          </w:tcPr>
          <w:p w14:paraId="0DBA0F45" w14:textId="77777777" w:rsidR="0074780E" w:rsidRPr="009F37C4" w:rsidRDefault="0074780E" w:rsidP="0074780E">
            <w:pPr>
              <w:rPr>
                <w:rFonts w:ascii="Calibri" w:hAnsi="Calibri" w:cs="Calibri"/>
                <w:sz w:val="22"/>
                <w:szCs w:val="22"/>
              </w:rPr>
            </w:pPr>
          </w:p>
        </w:tc>
      </w:tr>
      <w:tr w:rsidR="0074780E" w:rsidRPr="009F37C4" w14:paraId="79F4E387" w14:textId="77777777" w:rsidTr="00207829">
        <w:tc>
          <w:tcPr>
            <w:tcW w:w="1701" w:type="dxa"/>
          </w:tcPr>
          <w:p w14:paraId="4DEDC452" w14:textId="6F68F6B2" w:rsidR="0074780E" w:rsidRPr="009F37C4" w:rsidRDefault="008264F7" w:rsidP="0074780E">
            <w:pPr>
              <w:rPr>
                <w:rFonts w:ascii="Calibri" w:hAnsi="Calibri" w:cs="Calibri"/>
                <w:color w:val="000000" w:themeColor="text1"/>
                <w:sz w:val="22"/>
                <w:szCs w:val="22"/>
              </w:rPr>
            </w:pPr>
            <w:r w:rsidRPr="009F37C4">
              <w:rPr>
                <w:rFonts w:ascii="Calibri" w:hAnsi="Calibri" w:cs="Calibri"/>
                <w:color w:val="000000" w:themeColor="text1"/>
                <w:sz w:val="22"/>
                <w:szCs w:val="22"/>
              </w:rPr>
              <w:t>Expand the resources available to victims of sexual assault and rape</w:t>
            </w:r>
            <w:r w:rsidR="003D4BA2" w:rsidRPr="009F37C4">
              <w:rPr>
                <w:rFonts w:ascii="Calibri" w:hAnsi="Calibri" w:cs="Calibri"/>
                <w:color w:val="000000" w:themeColor="text1"/>
                <w:sz w:val="22"/>
                <w:szCs w:val="22"/>
              </w:rPr>
              <w:t>.</w:t>
            </w:r>
          </w:p>
        </w:tc>
        <w:tc>
          <w:tcPr>
            <w:tcW w:w="2704" w:type="dxa"/>
          </w:tcPr>
          <w:p w14:paraId="35914F3D" w14:textId="77777777" w:rsidR="0074780E" w:rsidRPr="009F37C4" w:rsidRDefault="0074780E" w:rsidP="0074780E">
            <w:pPr>
              <w:rPr>
                <w:rFonts w:ascii="Calibri" w:hAnsi="Calibri" w:cs="Calibri"/>
                <w:color w:val="000000" w:themeColor="text1"/>
                <w:sz w:val="22"/>
                <w:szCs w:val="22"/>
              </w:rPr>
            </w:pPr>
          </w:p>
        </w:tc>
        <w:tc>
          <w:tcPr>
            <w:tcW w:w="8910" w:type="dxa"/>
          </w:tcPr>
          <w:p w14:paraId="22999BA6" w14:textId="2406FFEB" w:rsidR="0074780E" w:rsidRPr="009F37C4" w:rsidRDefault="008264F7" w:rsidP="0074780E">
            <w:pPr>
              <w:rPr>
                <w:rFonts w:ascii="Calibri" w:hAnsi="Calibri" w:cs="Calibri"/>
                <w:sz w:val="22"/>
                <w:szCs w:val="22"/>
              </w:rPr>
            </w:pPr>
            <w:r w:rsidRPr="009F37C4">
              <w:rPr>
                <w:rFonts w:ascii="Calibri" w:hAnsi="Calibri" w:cs="Calibri"/>
                <w:color w:val="000000" w:themeColor="text1"/>
                <w:sz w:val="22"/>
                <w:szCs w:val="22"/>
              </w:rPr>
              <w:t>Morocco introduced Emergency Contraception (EC) for the first time in 2008. At that point, progestin-only EC pills had been available for years in Tunisia, Iran, Lebanon, and Turkey. Despite significant legislative progress, awareness and education about EC in Morocco were still lacking a decade after its introduction. EC pills are often confused with abortion pills, which are taboo in certain schools of Islamic thought. More affluent urban populations are the best educated on EC, and officially only married women are permitted to use it. (</w:t>
            </w:r>
            <w:r w:rsidRPr="009F37C4">
              <w:rPr>
                <w:rFonts w:ascii="Calibri" w:hAnsi="Calibri" w:cs="Calibri"/>
                <w:b/>
                <w:bCs/>
                <w:sz w:val="22"/>
                <w:szCs w:val="22"/>
              </w:rPr>
              <w:t xml:space="preserve">Source: </w:t>
            </w:r>
            <w:r w:rsidRPr="009F37C4">
              <w:rPr>
                <w:rFonts w:ascii="Calibri" w:hAnsi="Calibri" w:cs="Calibri"/>
                <w:sz w:val="22"/>
                <w:szCs w:val="22"/>
              </w:rPr>
              <w:t xml:space="preserve">Elena Chopyak, “Introducing </w:t>
            </w:r>
            <w:r w:rsidRPr="009F37C4">
              <w:rPr>
                <w:rFonts w:ascii="Calibri" w:hAnsi="Calibri" w:cs="Calibri"/>
                <w:sz w:val="22"/>
                <w:szCs w:val="22"/>
              </w:rPr>
              <w:lastRenderedPageBreak/>
              <w:t xml:space="preserve">Emergency Contraception in Morocco,” In </w:t>
            </w:r>
            <w:r w:rsidRPr="009F37C4">
              <w:rPr>
                <w:rFonts w:ascii="Calibri" w:hAnsi="Calibri" w:cs="Calibri"/>
                <w:i/>
                <w:iCs/>
                <w:sz w:val="22"/>
                <w:szCs w:val="22"/>
              </w:rPr>
              <w:t xml:space="preserve">Abortion Pills, Test Tube Babies, and Sex Toys, </w:t>
            </w:r>
            <w:r w:rsidRPr="009F37C4">
              <w:rPr>
                <w:rFonts w:ascii="Calibri" w:hAnsi="Calibri" w:cs="Calibri"/>
                <w:sz w:val="22"/>
                <w:szCs w:val="22"/>
              </w:rPr>
              <w:t>Angel M. Foster and L. L. Wynn, eds. (Nashville: Vanderbilt University Press, 2017), 27-</w:t>
            </w:r>
            <w:proofErr w:type="gramStart"/>
            <w:r w:rsidRPr="009F37C4">
              <w:rPr>
                <w:rFonts w:ascii="Calibri" w:hAnsi="Calibri" w:cs="Calibri"/>
                <w:sz w:val="22"/>
                <w:szCs w:val="22"/>
              </w:rPr>
              <w:t>43,  https://doi.org/10.2307/j.ctv16758qq.6</w:t>
            </w:r>
            <w:proofErr w:type="gramEnd"/>
            <w:r w:rsidRPr="009F37C4">
              <w:rPr>
                <w:rFonts w:ascii="Calibri" w:hAnsi="Calibri" w:cs="Calibri"/>
                <w:sz w:val="22"/>
                <w:szCs w:val="22"/>
              </w:rPr>
              <w:t>.)</w:t>
            </w:r>
          </w:p>
        </w:tc>
      </w:tr>
      <w:tr w:rsidR="0074780E" w:rsidRPr="009F37C4" w14:paraId="3918CB82" w14:textId="77777777" w:rsidTr="00207829">
        <w:tc>
          <w:tcPr>
            <w:tcW w:w="1701" w:type="dxa"/>
          </w:tcPr>
          <w:p w14:paraId="772C6EA4" w14:textId="28CD02C7" w:rsidR="0074780E" w:rsidRPr="009F37C4" w:rsidRDefault="008449A3" w:rsidP="0074780E">
            <w:pPr>
              <w:rPr>
                <w:rFonts w:ascii="Calibri" w:hAnsi="Calibri" w:cs="Calibri"/>
                <w:color w:val="000000" w:themeColor="text1"/>
                <w:sz w:val="22"/>
                <w:szCs w:val="22"/>
              </w:rPr>
            </w:pPr>
            <w:r w:rsidRPr="009F37C4">
              <w:rPr>
                <w:rFonts w:ascii="Calibri" w:hAnsi="Calibri" w:cs="Calibri"/>
                <w:color w:val="000000" w:themeColor="text1"/>
                <w:sz w:val="22"/>
                <w:szCs w:val="22"/>
              </w:rPr>
              <w:lastRenderedPageBreak/>
              <w:t>Establish rights-supportive measures of success for national and local FP programs</w:t>
            </w:r>
            <w:r w:rsidR="003D4BA2" w:rsidRPr="009F37C4">
              <w:rPr>
                <w:rFonts w:ascii="Calibri" w:hAnsi="Calibri" w:cs="Calibri"/>
                <w:color w:val="000000" w:themeColor="text1"/>
                <w:sz w:val="22"/>
                <w:szCs w:val="22"/>
              </w:rPr>
              <w:t>.</w:t>
            </w:r>
          </w:p>
        </w:tc>
        <w:tc>
          <w:tcPr>
            <w:tcW w:w="2704" w:type="dxa"/>
          </w:tcPr>
          <w:p w14:paraId="7B9437CD" w14:textId="2BC82EDC" w:rsidR="00043A25" w:rsidRPr="009F37C4" w:rsidRDefault="00043A25" w:rsidP="00043A25">
            <w:pPr>
              <w:spacing w:after="120"/>
              <w:rPr>
                <w:rFonts w:ascii="Calibri" w:eastAsia="Times New Roman" w:hAnsi="Calibri" w:cs="Calibri"/>
                <w:i/>
                <w:iCs/>
                <w:color w:val="0000FF"/>
                <w:sz w:val="22"/>
                <w:szCs w:val="22"/>
                <w:u w:val="single"/>
              </w:rPr>
            </w:pPr>
            <w:r w:rsidRPr="009F37C4">
              <w:rPr>
                <w:rFonts w:ascii="Calibri" w:eastAsia="Times New Roman" w:hAnsi="Calibri" w:cs="Calibri"/>
                <w:color w:val="000000" w:themeColor="text1"/>
                <w:sz w:val="22"/>
                <w:szCs w:val="22"/>
              </w:rPr>
              <w:t xml:space="preserve">In 2017, the WHO released </w:t>
            </w:r>
            <w:hyperlink r:id="rId26" w:history="1">
              <w:r w:rsidRPr="009F37C4">
                <w:rPr>
                  <w:rStyle w:val="Hyperlink"/>
                  <w:rFonts w:ascii="Calibri" w:hAnsi="Calibri" w:cs="Calibri"/>
                  <w:sz w:val="22"/>
                  <w:szCs w:val="22"/>
                </w:rPr>
                <w:t>Monitoring human rights</w:t>
              </w:r>
              <w:r w:rsidRPr="009F37C4">
                <w:rPr>
                  <w:rStyle w:val="Hyperlink"/>
                  <w:rFonts w:ascii="Calibri" w:eastAsia="Times New Roman" w:hAnsi="Calibri" w:cs="Calibri"/>
                  <w:sz w:val="22"/>
                  <w:szCs w:val="22"/>
                </w:rPr>
                <w:t xml:space="preserve"> </w:t>
              </w:r>
              <w:r w:rsidRPr="009F37C4">
                <w:rPr>
                  <w:rStyle w:val="Hyperlink"/>
                  <w:rFonts w:ascii="Calibri" w:hAnsi="Calibri" w:cs="Calibri"/>
                  <w:sz w:val="22"/>
                  <w:szCs w:val="22"/>
                </w:rPr>
                <w:t xml:space="preserve">in contraceptive services </w:t>
              </w:r>
              <w:r w:rsidRPr="009F37C4">
                <w:rPr>
                  <w:rStyle w:val="Hyperlink"/>
                  <w:rFonts w:ascii="Calibri" w:eastAsia="Times New Roman" w:hAnsi="Calibri" w:cs="Calibri"/>
                  <w:sz w:val="22"/>
                  <w:szCs w:val="22"/>
                </w:rPr>
                <w:t xml:space="preserve">and </w:t>
              </w:r>
              <w:proofErr w:type="spellStart"/>
              <w:r w:rsidRPr="009F37C4">
                <w:rPr>
                  <w:rStyle w:val="Hyperlink"/>
                  <w:rFonts w:ascii="Calibri" w:eastAsia="Times New Roman" w:hAnsi="Calibri" w:cs="Calibri"/>
                  <w:sz w:val="22"/>
                  <w:szCs w:val="22"/>
                </w:rPr>
                <w:t>programmes</w:t>
              </w:r>
              <w:proofErr w:type="spellEnd"/>
            </w:hyperlink>
            <w:r w:rsidRPr="009F37C4">
              <w:rPr>
                <w:rFonts w:ascii="Calibri" w:eastAsia="Times New Roman" w:hAnsi="Calibri" w:cs="Calibri"/>
                <w:i/>
                <w:iCs/>
                <w:color w:val="000000" w:themeColor="text1"/>
                <w:sz w:val="22"/>
                <w:szCs w:val="22"/>
              </w:rPr>
              <w:t xml:space="preserve">. </w:t>
            </w:r>
          </w:p>
          <w:p w14:paraId="4694603A" w14:textId="77777777" w:rsidR="003D4BA2" w:rsidRPr="009F37C4" w:rsidRDefault="003D4BA2" w:rsidP="00043A25">
            <w:pPr>
              <w:spacing w:after="120"/>
              <w:rPr>
                <w:rFonts w:ascii="Calibri" w:hAnsi="Calibri" w:cs="Calibri"/>
                <w:color w:val="000000" w:themeColor="text1"/>
                <w:sz w:val="22"/>
                <w:szCs w:val="22"/>
              </w:rPr>
            </w:pPr>
          </w:p>
          <w:p w14:paraId="79841C92" w14:textId="29A8AA27" w:rsidR="00043A25" w:rsidRPr="009F37C4" w:rsidRDefault="00043A25" w:rsidP="00043A25">
            <w:pPr>
              <w:spacing w:after="120"/>
              <w:rPr>
                <w:rFonts w:ascii="Calibri" w:hAnsi="Calibri" w:cs="Calibri"/>
                <w:i/>
                <w:iCs/>
                <w:color w:val="0000FF"/>
                <w:sz w:val="22"/>
                <w:szCs w:val="22"/>
                <w:u w:val="single"/>
              </w:rPr>
            </w:pPr>
            <w:r w:rsidRPr="009F37C4">
              <w:rPr>
                <w:rFonts w:ascii="Calibri" w:hAnsi="Calibri" w:cs="Calibri"/>
                <w:color w:val="000000" w:themeColor="text1"/>
                <w:sz w:val="22"/>
                <w:szCs w:val="22"/>
              </w:rPr>
              <w:t xml:space="preserve">There is a similar 2014 WHO report entitled </w:t>
            </w:r>
            <w:hyperlink r:id="rId27" w:history="1">
              <w:r w:rsidRPr="009F37C4">
                <w:rPr>
                  <w:rStyle w:val="Hyperlink"/>
                  <w:rFonts w:ascii="Calibri" w:eastAsia="Times New Roman" w:hAnsi="Calibri" w:cs="Calibri"/>
                  <w:sz w:val="22"/>
                  <w:szCs w:val="22"/>
                </w:rPr>
                <w:t xml:space="preserve">Ensuring human rights within contraceptive </w:t>
              </w:r>
              <w:proofErr w:type="spellStart"/>
              <w:r w:rsidRPr="009F37C4">
                <w:rPr>
                  <w:rStyle w:val="Hyperlink"/>
                  <w:rFonts w:ascii="Calibri" w:eastAsia="Times New Roman" w:hAnsi="Calibri" w:cs="Calibri"/>
                  <w:sz w:val="22"/>
                  <w:szCs w:val="22"/>
                </w:rPr>
                <w:t>programmes</w:t>
              </w:r>
              <w:proofErr w:type="spellEnd"/>
              <w:r w:rsidRPr="009F37C4">
                <w:rPr>
                  <w:rStyle w:val="Hyperlink"/>
                  <w:rFonts w:ascii="Calibri" w:eastAsia="Times New Roman" w:hAnsi="Calibri" w:cs="Calibri"/>
                  <w:sz w:val="22"/>
                  <w:szCs w:val="22"/>
                </w:rPr>
                <w:t>: A human rights analysis of existing quantitative indicators</w:t>
              </w:r>
            </w:hyperlink>
            <w:r w:rsidRPr="009F37C4">
              <w:rPr>
                <w:rFonts w:ascii="Calibri" w:hAnsi="Calibri" w:cs="Calibri"/>
                <w:color w:val="000000" w:themeColor="text1"/>
                <w:sz w:val="22"/>
                <w:szCs w:val="22"/>
              </w:rPr>
              <w:t>.</w:t>
            </w:r>
          </w:p>
          <w:p w14:paraId="7E9D776B" w14:textId="77777777" w:rsidR="0074780E" w:rsidRPr="009F37C4" w:rsidRDefault="0074780E" w:rsidP="0074780E">
            <w:pPr>
              <w:rPr>
                <w:rFonts w:ascii="Calibri" w:hAnsi="Calibri" w:cs="Calibri"/>
                <w:color w:val="000000" w:themeColor="text1"/>
                <w:sz w:val="22"/>
                <w:szCs w:val="22"/>
              </w:rPr>
            </w:pPr>
          </w:p>
        </w:tc>
        <w:tc>
          <w:tcPr>
            <w:tcW w:w="8910" w:type="dxa"/>
          </w:tcPr>
          <w:p w14:paraId="79FB4F29" w14:textId="77777777" w:rsidR="0074780E" w:rsidRPr="009F37C4" w:rsidRDefault="0074780E" w:rsidP="0074780E">
            <w:pPr>
              <w:rPr>
                <w:rFonts w:ascii="Calibri" w:hAnsi="Calibri" w:cs="Calibri"/>
                <w:sz w:val="22"/>
                <w:szCs w:val="22"/>
              </w:rPr>
            </w:pPr>
          </w:p>
        </w:tc>
      </w:tr>
      <w:tr w:rsidR="0074780E" w:rsidRPr="009F37C4" w14:paraId="65314BCE" w14:textId="77777777" w:rsidTr="00207829">
        <w:tc>
          <w:tcPr>
            <w:tcW w:w="1701" w:type="dxa"/>
          </w:tcPr>
          <w:p w14:paraId="22BE56C9" w14:textId="5BF0465C" w:rsidR="0074780E" w:rsidRPr="009F37C4" w:rsidRDefault="00F83607" w:rsidP="0074780E">
            <w:pPr>
              <w:rPr>
                <w:rFonts w:ascii="Calibri" w:hAnsi="Calibri" w:cs="Calibri"/>
                <w:color w:val="000000" w:themeColor="text1"/>
                <w:sz w:val="22"/>
                <w:szCs w:val="22"/>
              </w:rPr>
            </w:pPr>
            <w:r w:rsidRPr="009F37C4">
              <w:rPr>
                <w:rFonts w:ascii="Calibri" w:hAnsi="Calibri" w:cs="Calibri"/>
                <w:color w:val="000000" w:themeColor="text1"/>
                <w:sz w:val="22"/>
                <w:szCs w:val="22"/>
              </w:rPr>
              <w:t>The state must actively manage FP supply chains and preemptively develop flexible crisis response mechanisms</w:t>
            </w:r>
            <w:r w:rsidR="003D4BA2" w:rsidRPr="009F37C4">
              <w:rPr>
                <w:rFonts w:ascii="Calibri" w:hAnsi="Calibri" w:cs="Calibri"/>
                <w:color w:val="000000" w:themeColor="text1"/>
                <w:sz w:val="22"/>
                <w:szCs w:val="22"/>
              </w:rPr>
              <w:t>.</w:t>
            </w:r>
          </w:p>
        </w:tc>
        <w:tc>
          <w:tcPr>
            <w:tcW w:w="2704" w:type="dxa"/>
          </w:tcPr>
          <w:p w14:paraId="7B1411C4" w14:textId="77777777" w:rsidR="0074780E" w:rsidRPr="009F37C4" w:rsidRDefault="0074780E" w:rsidP="0074780E">
            <w:pPr>
              <w:rPr>
                <w:rFonts w:ascii="Calibri" w:hAnsi="Calibri" w:cs="Calibri"/>
                <w:color w:val="000000" w:themeColor="text1"/>
                <w:sz w:val="22"/>
                <w:szCs w:val="22"/>
              </w:rPr>
            </w:pPr>
          </w:p>
        </w:tc>
        <w:tc>
          <w:tcPr>
            <w:tcW w:w="8910" w:type="dxa"/>
          </w:tcPr>
          <w:p w14:paraId="4BFA879C" w14:textId="46A5D74E" w:rsidR="0074780E" w:rsidRPr="009F37C4" w:rsidRDefault="00F83607" w:rsidP="0074780E">
            <w:pPr>
              <w:rPr>
                <w:rFonts w:ascii="Calibri" w:hAnsi="Calibri" w:cs="Calibri"/>
                <w:sz w:val="22"/>
                <w:szCs w:val="22"/>
              </w:rPr>
            </w:pPr>
            <w:r w:rsidRPr="009F37C4">
              <w:rPr>
                <w:rFonts w:ascii="Calibri" w:hAnsi="Calibri" w:cs="Calibri"/>
                <w:color w:val="000000"/>
                <w:sz w:val="22"/>
                <w:szCs w:val="22"/>
                <w:shd w:val="clear" w:color="auto" w:fill="FFFFFF"/>
              </w:rPr>
              <w:t>Save the Children has spent a decade building resilient FP and post-abortion care amidst overlapping humanitarian crises in Yemen. Health facilities have been a primary target for attacks, and medical supplies have often been unable to reach blockaded seaports. Despite these and other challenges, Save the Children has successfully diversified the nation’s contraceptive method mix, introducing many to longer-lasting methods such as injectables, IUDs, and implants. Robust monitoring and evaluation systems have enabled the program to optimize at-risk supply chains. For example, Save the Children used service statistics to calculate necessary security stock levels based on anticipated client load, population mobility, and facility capacity. (</w:t>
            </w:r>
            <w:r w:rsidRPr="009F37C4">
              <w:rPr>
                <w:rFonts w:ascii="Calibri" w:hAnsi="Calibri" w:cs="Calibri"/>
                <w:b/>
                <w:bCs/>
                <w:sz w:val="22"/>
                <w:szCs w:val="22"/>
              </w:rPr>
              <w:t xml:space="preserve">Source: </w:t>
            </w:r>
            <w:r w:rsidRPr="009F37C4">
              <w:rPr>
                <w:rFonts w:ascii="Calibri" w:hAnsi="Calibri" w:cs="Calibri"/>
                <w:sz w:val="22"/>
                <w:szCs w:val="22"/>
              </w:rPr>
              <w:t xml:space="preserve">Catherine N. Morris, Kate Lopes, Meghan C. Gallagher et al., “When political solutions for acute conflict in Yemen seem distant, demand for reproductive health services is immediate: a </w:t>
            </w:r>
            <w:proofErr w:type="spellStart"/>
            <w:r w:rsidRPr="009F37C4">
              <w:rPr>
                <w:rFonts w:ascii="Calibri" w:hAnsi="Calibri" w:cs="Calibri"/>
                <w:sz w:val="22"/>
                <w:szCs w:val="22"/>
              </w:rPr>
              <w:t>programme</w:t>
            </w:r>
            <w:proofErr w:type="spellEnd"/>
            <w:r w:rsidRPr="009F37C4">
              <w:rPr>
                <w:rFonts w:ascii="Calibri" w:hAnsi="Calibri" w:cs="Calibri"/>
                <w:sz w:val="22"/>
                <w:szCs w:val="22"/>
              </w:rPr>
              <w:t xml:space="preserve"> model for resilient family planning and post-abortion care </w:t>
            </w:r>
            <w:proofErr w:type="gramStart"/>
            <w:r w:rsidRPr="009F37C4">
              <w:rPr>
                <w:rFonts w:ascii="Calibri" w:hAnsi="Calibri" w:cs="Calibri"/>
                <w:sz w:val="22"/>
                <w:szCs w:val="22"/>
              </w:rPr>
              <w:t>services,“</w:t>
            </w:r>
            <w:proofErr w:type="gramEnd"/>
            <w:r w:rsidRPr="009F37C4">
              <w:rPr>
                <w:rFonts w:ascii="Calibri" w:hAnsi="Calibri" w:cs="Calibri"/>
                <w:sz w:val="22"/>
                <w:szCs w:val="22"/>
              </w:rPr>
              <w:t xml:space="preserve"> </w:t>
            </w:r>
            <w:r w:rsidRPr="009F37C4">
              <w:rPr>
                <w:rFonts w:ascii="Calibri" w:hAnsi="Calibri" w:cs="Calibri"/>
                <w:i/>
                <w:iCs/>
                <w:sz w:val="22"/>
                <w:szCs w:val="22"/>
              </w:rPr>
              <w:t>Sexual and Reproductive Health Matters</w:t>
            </w:r>
            <w:r w:rsidRPr="009F37C4">
              <w:rPr>
                <w:rFonts w:ascii="Calibri" w:hAnsi="Calibri" w:cs="Calibri"/>
                <w:sz w:val="22"/>
                <w:szCs w:val="22"/>
              </w:rPr>
              <w:t xml:space="preserve">, </w:t>
            </w:r>
            <w:r w:rsidRPr="009F37C4">
              <w:rPr>
                <w:rFonts w:ascii="Calibri" w:hAnsi="Calibri" w:cs="Calibri"/>
                <w:i/>
                <w:iCs/>
                <w:sz w:val="22"/>
                <w:szCs w:val="22"/>
              </w:rPr>
              <w:t>27</w:t>
            </w:r>
            <w:r w:rsidRPr="009F37C4">
              <w:rPr>
                <w:rFonts w:ascii="Calibri" w:hAnsi="Calibri" w:cs="Calibri"/>
                <w:sz w:val="22"/>
                <w:szCs w:val="22"/>
              </w:rPr>
              <w:t>(2) (2019): 100–111, https://doi.org/10.1080/26410397.2019.1610279.)</w:t>
            </w:r>
          </w:p>
        </w:tc>
      </w:tr>
      <w:tr w:rsidR="0074780E" w:rsidRPr="009F37C4" w14:paraId="4F915F2B" w14:textId="77777777" w:rsidTr="00207829">
        <w:tc>
          <w:tcPr>
            <w:tcW w:w="1701" w:type="dxa"/>
          </w:tcPr>
          <w:p w14:paraId="2D4DE442" w14:textId="4211A873" w:rsidR="0074780E" w:rsidRPr="009F37C4" w:rsidRDefault="00BE394E" w:rsidP="0074780E">
            <w:pPr>
              <w:rPr>
                <w:rFonts w:ascii="Calibri" w:hAnsi="Calibri" w:cs="Calibri"/>
                <w:b/>
                <w:bCs/>
                <w:color w:val="000000" w:themeColor="text1"/>
                <w:sz w:val="22"/>
                <w:szCs w:val="22"/>
              </w:rPr>
            </w:pPr>
            <w:r w:rsidRPr="009F37C4">
              <w:rPr>
                <w:rFonts w:ascii="Calibri" w:hAnsi="Calibri" w:cs="Calibri"/>
                <w:b/>
                <w:bCs/>
                <w:color w:val="C00000"/>
                <w:sz w:val="22"/>
                <w:szCs w:val="22"/>
              </w:rPr>
              <w:t>Quality Information and Services</w:t>
            </w:r>
          </w:p>
        </w:tc>
        <w:tc>
          <w:tcPr>
            <w:tcW w:w="2704" w:type="dxa"/>
          </w:tcPr>
          <w:p w14:paraId="203A829B" w14:textId="77777777" w:rsidR="0074780E" w:rsidRPr="009F37C4" w:rsidRDefault="0074780E" w:rsidP="0074780E">
            <w:pPr>
              <w:rPr>
                <w:rFonts w:ascii="Calibri" w:hAnsi="Calibri" w:cs="Calibri"/>
                <w:color w:val="000000" w:themeColor="text1"/>
                <w:sz w:val="22"/>
                <w:szCs w:val="22"/>
              </w:rPr>
            </w:pPr>
          </w:p>
        </w:tc>
        <w:tc>
          <w:tcPr>
            <w:tcW w:w="8910" w:type="dxa"/>
          </w:tcPr>
          <w:p w14:paraId="7FB14AD9" w14:textId="77777777" w:rsidR="0074780E" w:rsidRPr="009F37C4" w:rsidRDefault="0074780E" w:rsidP="0074780E">
            <w:pPr>
              <w:rPr>
                <w:rFonts w:ascii="Calibri" w:hAnsi="Calibri" w:cs="Calibri"/>
                <w:sz w:val="22"/>
                <w:szCs w:val="22"/>
              </w:rPr>
            </w:pPr>
          </w:p>
        </w:tc>
      </w:tr>
      <w:tr w:rsidR="0074780E" w:rsidRPr="009F37C4" w14:paraId="22BBC185" w14:textId="77777777" w:rsidTr="00207829">
        <w:tc>
          <w:tcPr>
            <w:tcW w:w="1701" w:type="dxa"/>
          </w:tcPr>
          <w:p w14:paraId="3BA4C7D4" w14:textId="39BA75EE" w:rsidR="0074780E" w:rsidRPr="009F37C4" w:rsidRDefault="00BE394E" w:rsidP="0074780E">
            <w:pPr>
              <w:rPr>
                <w:rFonts w:ascii="Calibri" w:hAnsi="Calibri" w:cs="Calibri"/>
                <w:color w:val="000000" w:themeColor="text1"/>
                <w:sz w:val="22"/>
                <w:szCs w:val="22"/>
              </w:rPr>
            </w:pPr>
            <w:r w:rsidRPr="009F37C4">
              <w:rPr>
                <w:rFonts w:ascii="Calibri" w:hAnsi="Calibri" w:cs="Calibri"/>
                <w:color w:val="000000" w:themeColor="text1"/>
                <w:sz w:val="22"/>
                <w:szCs w:val="22"/>
              </w:rPr>
              <w:lastRenderedPageBreak/>
              <w:t>Expand the range of FP methods available in the public and private sector</w:t>
            </w:r>
            <w:r w:rsidR="003D4BA2" w:rsidRPr="009F37C4">
              <w:rPr>
                <w:rFonts w:ascii="Calibri" w:hAnsi="Calibri" w:cs="Calibri"/>
                <w:color w:val="000000" w:themeColor="text1"/>
                <w:sz w:val="22"/>
                <w:szCs w:val="22"/>
              </w:rPr>
              <w:t>.</w:t>
            </w:r>
          </w:p>
        </w:tc>
        <w:tc>
          <w:tcPr>
            <w:tcW w:w="2704" w:type="dxa"/>
          </w:tcPr>
          <w:p w14:paraId="4ACFE6AB" w14:textId="00801519" w:rsidR="009B0BB7" w:rsidRPr="009F37C4" w:rsidRDefault="009B0BB7" w:rsidP="009B0BB7">
            <w:pPr>
              <w:spacing w:after="120"/>
              <w:rPr>
                <w:rFonts w:ascii="Calibri" w:hAnsi="Calibri" w:cs="Calibri"/>
                <w:color w:val="000000" w:themeColor="text1"/>
                <w:sz w:val="22"/>
                <w:szCs w:val="22"/>
              </w:rPr>
            </w:pPr>
            <w:r w:rsidRPr="009F37C4">
              <w:rPr>
                <w:rFonts w:ascii="Calibri" w:hAnsi="Calibri" w:cs="Calibri"/>
                <w:sz w:val="22"/>
                <w:szCs w:val="22"/>
              </w:rPr>
              <w:t>The</w:t>
            </w:r>
            <w:r w:rsidRPr="009F37C4">
              <w:rPr>
                <w:rFonts w:ascii="Calibri" w:hAnsi="Calibri" w:cs="Calibri"/>
                <w:b/>
                <w:bCs/>
                <w:sz w:val="22"/>
                <w:szCs w:val="22"/>
              </w:rPr>
              <w:t xml:space="preserve"> </w:t>
            </w:r>
            <w:r w:rsidRPr="009F37C4">
              <w:rPr>
                <w:rFonts w:ascii="Calibri" w:hAnsi="Calibri" w:cs="Calibri"/>
                <w:sz w:val="22"/>
                <w:szCs w:val="22"/>
              </w:rPr>
              <w:t>WHO has an evidence brief on</w:t>
            </w:r>
            <w:r w:rsidRPr="009F37C4">
              <w:rPr>
                <w:rFonts w:ascii="Calibri" w:hAnsi="Calibri" w:cs="Calibri"/>
                <w:b/>
                <w:bCs/>
                <w:sz w:val="22"/>
                <w:szCs w:val="22"/>
              </w:rPr>
              <w:t xml:space="preserve"> </w:t>
            </w:r>
            <w:hyperlink r:id="rId28" w:history="1">
              <w:r w:rsidRPr="009F37C4">
                <w:rPr>
                  <w:rStyle w:val="Hyperlink"/>
                  <w:rFonts w:ascii="Calibri" w:hAnsi="Calibri" w:cs="Calibri"/>
                  <w:sz w:val="22"/>
                  <w:szCs w:val="22"/>
                </w:rPr>
                <w:t>Expanding contraceptive choice</w:t>
              </w:r>
            </w:hyperlink>
            <w:r w:rsidRPr="009F37C4">
              <w:rPr>
                <w:rStyle w:val="Hyperlink"/>
                <w:rFonts w:ascii="Calibri" w:hAnsi="Calibri" w:cs="Calibri"/>
                <w:sz w:val="22"/>
                <w:szCs w:val="22"/>
              </w:rPr>
              <w:t>,</w:t>
            </w:r>
            <w:r w:rsidRPr="009F37C4">
              <w:rPr>
                <w:rFonts w:ascii="Calibri" w:hAnsi="Calibri" w:cs="Calibri"/>
                <w:sz w:val="22"/>
                <w:szCs w:val="22"/>
              </w:rPr>
              <w:t xml:space="preserve"> which it updated in 2018.</w:t>
            </w:r>
          </w:p>
          <w:p w14:paraId="62CA01EC" w14:textId="77777777" w:rsidR="009B0BB7" w:rsidRPr="009F37C4" w:rsidRDefault="009B0BB7" w:rsidP="009B0BB7">
            <w:pPr>
              <w:spacing w:after="120"/>
              <w:rPr>
                <w:rFonts w:ascii="Calibri" w:eastAsia="Times New Roman" w:hAnsi="Calibri" w:cs="Calibri"/>
                <w:color w:val="000000" w:themeColor="text1"/>
                <w:sz w:val="22"/>
                <w:szCs w:val="22"/>
              </w:rPr>
            </w:pPr>
          </w:p>
          <w:p w14:paraId="24D1130D" w14:textId="4BA3B7AB" w:rsidR="009B0BB7" w:rsidRPr="009F37C4" w:rsidRDefault="009B0BB7" w:rsidP="009B0BB7">
            <w:pPr>
              <w:spacing w:after="120"/>
              <w:rPr>
                <w:rFonts w:ascii="Calibri" w:hAnsi="Calibri" w:cs="Calibri"/>
                <w:color w:val="000000" w:themeColor="text1"/>
                <w:sz w:val="22"/>
                <w:szCs w:val="22"/>
              </w:rPr>
            </w:pPr>
            <w:r w:rsidRPr="009F37C4">
              <w:rPr>
                <w:rFonts w:ascii="Calibri" w:eastAsia="Times New Roman" w:hAnsi="Calibri" w:cs="Calibri"/>
                <w:color w:val="000000" w:themeColor="text1"/>
                <w:sz w:val="22"/>
                <w:szCs w:val="22"/>
              </w:rPr>
              <w:t>The</w:t>
            </w:r>
            <w:r w:rsidRPr="009F37C4">
              <w:rPr>
                <w:rFonts w:ascii="Calibri" w:hAnsi="Calibri" w:cs="Calibri"/>
                <w:sz w:val="22"/>
                <w:szCs w:val="22"/>
              </w:rPr>
              <w:t xml:space="preserve"> </w:t>
            </w:r>
            <w:hyperlink r:id="rId29" w:history="1">
              <w:r w:rsidRPr="009F37C4">
                <w:rPr>
                  <w:rStyle w:val="Hyperlink"/>
                  <w:rFonts w:ascii="Calibri" w:hAnsi="Calibri" w:cs="Calibri"/>
                  <w:sz w:val="22"/>
                  <w:szCs w:val="22"/>
                </w:rPr>
                <w:t>Global Consensus Statement for Expanding Contraceptive Choice for Adolescents and Youth to Include Long-Acting Reversible Contraception</w:t>
              </w:r>
            </w:hyperlink>
            <w:r w:rsidRPr="009F37C4">
              <w:rPr>
                <w:rFonts w:ascii="Calibri" w:hAnsi="Calibri" w:cs="Calibri"/>
                <w:sz w:val="22"/>
                <w:szCs w:val="22"/>
              </w:rPr>
              <w:t xml:space="preserve"> was produced in 2015 with the support of more than a dozen major SRHR organizations.</w:t>
            </w:r>
          </w:p>
          <w:p w14:paraId="3B92F458" w14:textId="77777777" w:rsidR="0074780E" w:rsidRPr="009F37C4" w:rsidRDefault="0074780E" w:rsidP="0074780E">
            <w:pPr>
              <w:rPr>
                <w:rFonts w:ascii="Calibri" w:hAnsi="Calibri" w:cs="Calibri"/>
                <w:color w:val="000000" w:themeColor="text1"/>
                <w:sz w:val="22"/>
                <w:szCs w:val="22"/>
              </w:rPr>
            </w:pPr>
          </w:p>
        </w:tc>
        <w:tc>
          <w:tcPr>
            <w:tcW w:w="8910" w:type="dxa"/>
          </w:tcPr>
          <w:p w14:paraId="45C31E5D" w14:textId="2D2E9532" w:rsidR="0074780E" w:rsidRPr="009F37C4" w:rsidRDefault="00BE394E" w:rsidP="0074780E">
            <w:pPr>
              <w:rPr>
                <w:rFonts w:ascii="Calibri" w:hAnsi="Calibri" w:cs="Calibri"/>
                <w:sz w:val="22"/>
                <w:szCs w:val="22"/>
              </w:rPr>
            </w:pPr>
            <w:r w:rsidRPr="009F37C4">
              <w:rPr>
                <w:rFonts w:ascii="Calibri" w:hAnsi="Calibri" w:cs="Calibri"/>
                <w:sz w:val="22"/>
                <w:szCs w:val="22"/>
              </w:rPr>
              <w:t xml:space="preserve">In Egypt, the government has invested in subsidizing and promoting IUDs as a pillar of its FP program. The devices are very popular; six of ten currently married women in Egypt use contraception, and 60% use an IUD. Hormonal IUDs, which were not offered by the government as of 2017, would likely be even more highly in demand. Islamic teaching is that women cannot engage in certain activities during menstruation, including praying, sexual intercourse, and fasting. Heavy and prolonged bleeding is a major concern, and many Muslim women request the removal of their copper IUD prior to Ramadan. As opposed to copper IUDs, hormonal versions tend to </w:t>
            </w:r>
            <w:r w:rsidRPr="009F37C4">
              <w:rPr>
                <w:rFonts w:ascii="Calibri" w:hAnsi="Calibri" w:cs="Calibri"/>
                <w:i/>
                <w:iCs/>
                <w:sz w:val="22"/>
                <w:szCs w:val="22"/>
              </w:rPr>
              <w:t>decrease</w:t>
            </w:r>
            <w:r w:rsidRPr="009F37C4">
              <w:rPr>
                <w:rFonts w:ascii="Calibri" w:hAnsi="Calibri" w:cs="Calibri"/>
                <w:sz w:val="22"/>
                <w:szCs w:val="22"/>
              </w:rPr>
              <w:t xml:space="preserve"> bleeding. (</w:t>
            </w:r>
            <w:r w:rsidRPr="009F37C4">
              <w:rPr>
                <w:rFonts w:ascii="Calibri" w:hAnsi="Calibri" w:cs="Calibri"/>
                <w:b/>
                <w:bCs/>
                <w:sz w:val="22"/>
                <w:szCs w:val="22"/>
              </w:rPr>
              <w:t xml:space="preserve">Source: </w:t>
            </w:r>
            <w:r w:rsidRPr="009F37C4">
              <w:rPr>
                <w:rFonts w:ascii="Calibri" w:hAnsi="Calibri" w:cs="Calibri"/>
                <w:sz w:val="22"/>
                <w:szCs w:val="22"/>
              </w:rPr>
              <w:t xml:space="preserve">Ahmed Ragab, “Is There an Islamic IUD?: Exploring the Acceptability of a Hormone-Releasing Intrauterine Device in Egypt,” in </w:t>
            </w:r>
            <w:r w:rsidRPr="009F37C4">
              <w:rPr>
                <w:rFonts w:ascii="Calibri" w:hAnsi="Calibri" w:cs="Calibri"/>
                <w:i/>
                <w:iCs/>
                <w:sz w:val="22"/>
                <w:szCs w:val="22"/>
              </w:rPr>
              <w:t>Abortion Pills, Test Tube Babies, and Sex Toys, Angel M. Foster and L. L. Wynn, eds. (Nashville: Vanderbilt University Press, 2017):</w:t>
            </w:r>
            <w:r w:rsidRPr="009F37C4">
              <w:rPr>
                <w:rFonts w:ascii="Calibri" w:hAnsi="Calibri" w:cs="Calibri"/>
                <w:sz w:val="22"/>
                <w:szCs w:val="22"/>
              </w:rPr>
              <w:t xml:space="preserve"> 15–26, </w:t>
            </w:r>
            <w:hyperlink r:id="rId30" w:history="1">
              <w:r w:rsidRPr="009F37C4">
                <w:rPr>
                  <w:rStyle w:val="Hyperlink"/>
                  <w:rFonts w:ascii="Calibri" w:hAnsi="Calibri" w:cs="Calibri"/>
                  <w:sz w:val="22"/>
                  <w:szCs w:val="22"/>
                </w:rPr>
                <w:t>https://doi.org/10.2307/j.ctv16758qq.5</w:t>
              </w:r>
            </w:hyperlink>
            <w:r w:rsidRPr="009F37C4">
              <w:rPr>
                <w:rFonts w:ascii="Calibri" w:hAnsi="Calibri" w:cs="Calibri"/>
                <w:sz w:val="22"/>
                <w:szCs w:val="22"/>
              </w:rPr>
              <w:t>.)</w:t>
            </w:r>
          </w:p>
          <w:p w14:paraId="38E9E94F" w14:textId="77777777" w:rsidR="003D4BA2" w:rsidRPr="009F37C4" w:rsidRDefault="003D4BA2" w:rsidP="0074780E">
            <w:pPr>
              <w:rPr>
                <w:rFonts w:ascii="Calibri" w:hAnsi="Calibri" w:cs="Calibri"/>
                <w:sz w:val="22"/>
                <w:szCs w:val="22"/>
              </w:rPr>
            </w:pPr>
          </w:p>
          <w:p w14:paraId="6EF24170" w14:textId="372587A4" w:rsidR="00BE394E" w:rsidRPr="009F37C4" w:rsidRDefault="00BE394E" w:rsidP="0074780E">
            <w:pPr>
              <w:rPr>
                <w:rFonts w:ascii="Calibri" w:hAnsi="Calibri" w:cs="Calibri"/>
                <w:sz w:val="22"/>
                <w:szCs w:val="22"/>
              </w:rPr>
            </w:pPr>
            <w:r w:rsidRPr="009F37C4">
              <w:rPr>
                <w:rFonts w:ascii="Calibri" w:hAnsi="Calibri" w:cs="Calibri"/>
                <w:sz w:val="22"/>
                <w:szCs w:val="22"/>
              </w:rPr>
              <w:t>Implanon, an implanted hormone-releasing device, was also well-received in Egypt. It showed a low first-year discontinuation rate (13.5%) compared to other methods. Women who had used an implant before, who were using Implanon for birth limiting and whose husbands had higher levels of education were the least likely to discontinue usage. Those who chose to have it removed usually cited side effects as their main reason for doing so. (</w:t>
            </w:r>
            <w:r w:rsidRPr="009F37C4">
              <w:rPr>
                <w:rFonts w:ascii="Calibri" w:hAnsi="Calibri" w:cs="Calibri"/>
                <w:b/>
                <w:bCs/>
                <w:sz w:val="22"/>
                <w:szCs w:val="22"/>
              </w:rPr>
              <w:t xml:space="preserve">Source: </w:t>
            </w:r>
            <w:r w:rsidRPr="009F37C4">
              <w:rPr>
                <w:rFonts w:ascii="Calibri" w:hAnsi="Calibri" w:cs="Calibri"/>
                <w:sz w:val="22"/>
                <w:szCs w:val="22"/>
              </w:rPr>
              <w:t>Mirette M.</w:t>
            </w:r>
            <w:r w:rsidRPr="009F37C4">
              <w:rPr>
                <w:rFonts w:ascii="Calibri" w:hAnsi="Calibri" w:cs="Calibri"/>
                <w:b/>
                <w:bCs/>
                <w:sz w:val="22"/>
                <w:szCs w:val="22"/>
              </w:rPr>
              <w:t xml:space="preserve"> </w:t>
            </w:r>
            <w:r w:rsidRPr="009F37C4">
              <w:rPr>
                <w:rFonts w:ascii="Calibri" w:hAnsi="Calibri" w:cs="Calibri"/>
                <w:sz w:val="22"/>
                <w:szCs w:val="22"/>
              </w:rPr>
              <w:t>Aziz, Amira F. El-</w:t>
            </w:r>
            <w:proofErr w:type="spellStart"/>
            <w:r w:rsidRPr="009F37C4">
              <w:rPr>
                <w:rFonts w:ascii="Calibri" w:hAnsi="Calibri" w:cs="Calibri"/>
                <w:sz w:val="22"/>
                <w:szCs w:val="22"/>
              </w:rPr>
              <w:t>Gazzar</w:t>
            </w:r>
            <w:proofErr w:type="spellEnd"/>
            <w:r w:rsidRPr="009F37C4">
              <w:rPr>
                <w:rFonts w:ascii="Calibri" w:hAnsi="Calibri" w:cs="Calibri"/>
                <w:sz w:val="22"/>
                <w:szCs w:val="22"/>
              </w:rPr>
              <w:t xml:space="preserve">, and Omaima </w:t>
            </w:r>
            <w:proofErr w:type="spellStart"/>
            <w:r w:rsidRPr="009F37C4">
              <w:rPr>
                <w:rFonts w:ascii="Calibri" w:hAnsi="Calibri" w:cs="Calibri"/>
                <w:sz w:val="22"/>
                <w:szCs w:val="22"/>
              </w:rPr>
              <w:t>Elgibaly</w:t>
            </w:r>
            <w:proofErr w:type="spellEnd"/>
            <w:r w:rsidRPr="009F37C4">
              <w:rPr>
                <w:rFonts w:ascii="Calibri" w:hAnsi="Calibri" w:cs="Calibri"/>
                <w:sz w:val="22"/>
                <w:szCs w:val="22"/>
              </w:rPr>
              <w:t xml:space="preserve">, “Factors associated with first-year discontinuation of Implanon in Upper Egypt: clients’ and providers’ perspectives,” </w:t>
            </w:r>
            <w:r w:rsidRPr="009F37C4">
              <w:rPr>
                <w:rFonts w:ascii="Calibri" w:hAnsi="Calibri" w:cs="Calibri"/>
                <w:i/>
                <w:iCs/>
                <w:sz w:val="22"/>
                <w:szCs w:val="22"/>
              </w:rPr>
              <w:t>BMJ Sexual &amp; Reproductive Health</w:t>
            </w:r>
            <w:r w:rsidRPr="009F37C4">
              <w:rPr>
                <w:rFonts w:ascii="Calibri" w:hAnsi="Calibri" w:cs="Calibri"/>
                <w:sz w:val="22"/>
                <w:szCs w:val="22"/>
              </w:rPr>
              <w:t xml:space="preserve">, </w:t>
            </w:r>
            <w:r w:rsidRPr="009F37C4">
              <w:rPr>
                <w:rFonts w:ascii="Calibri" w:hAnsi="Calibri" w:cs="Calibri"/>
                <w:i/>
                <w:iCs/>
                <w:sz w:val="22"/>
                <w:szCs w:val="22"/>
              </w:rPr>
              <w:t>44</w:t>
            </w:r>
            <w:r w:rsidRPr="009F37C4">
              <w:rPr>
                <w:rFonts w:ascii="Calibri" w:hAnsi="Calibri" w:cs="Calibri"/>
                <w:sz w:val="22"/>
                <w:szCs w:val="22"/>
              </w:rPr>
              <w:t xml:space="preserve">(4) (2018): 260–266, </w:t>
            </w:r>
            <w:hyperlink r:id="rId31" w:history="1">
              <w:r w:rsidRPr="009F37C4">
                <w:rPr>
                  <w:rStyle w:val="Hyperlink"/>
                  <w:rFonts w:ascii="Calibri" w:hAnsi="Calibri" w:cs="Calibri"/>
                  <w:sz w:val="22"/>
                  <w:szCs w:val="22"/>
                </w:rPr>
                <w:t>https://doi.org/10.1136/bmjsrh-2017-101860</w:t>
              </w:r>
            </w:hyperlink>
            <w:r w:rsidRPr="009F37C4">
              <w:rPr>
                <w:rFonts w:ascii="Calibri" w:hAnsi="Calibri" w:cs="Calibri"/>
                <w:sz w:val="22"/>
                <w:szCs w:val="22"/>
              </w:rPr>
              <w:t>.)</w:t>
            </w:r>
          </w:p>
          <w:p w14:paraId="5595B8EA" w14:textId="77777777" w:rsidR="003D4BA2" w:rsidRPr="009F37C4" w:rsidRDefault="003D4BA2" w:rsidP="0074780E">
            <w:pPr>
              <w:rPr>
                <w:rFonts w:ascii="Calibri" w:hAnsi="Calibri" w:cs="Calibri"/>
                <w:sz w:val="22"/>
                <w:szCs w:val="22"/>
              </w:rPr>
            </w:pPr>
          </w:p>
          <w:p w14:paraId="0FB4B621" w14:textId="6D893F4F" w:rsidR="00BE394E" w:rsidRPr="009F37C4" w:rsidRDefault="00BE394E" w:rsidP="0074780E">
            <w:pPr>
              <w:rPr>
                <w:rFonts w:ascii="Calibri" w:hAnsi="Calibri" w:cs="Calibri"/>
                <w:sz w:val="22"/>
                <w:szCs w:val="22"/>
              </w:rPr>
            </w:pPr>
            <w:r w:rsidRPr="009F37C4">
              <w:rPr>
                <w:rFonts w:ascii="Calibri" w:hAnsi="Calibri" w:cs="Calibri"/>
                <w:color w:val="000000" w:themeColor="text1"/>
                <w:sz w:val="22"/>
                <w:szCs w:val="22"/>
              </w:rPr>
              <w:t>LARCs are a priority contraceptive method for youth in Ethiopia. They are “effective, discreet, and long-lasting,” which is advantageous since young people may face greater barriers to regularly accessing SRH services and pharmaceuticals than adults. The USAID Integrated Family Health Program Plus trained youth-friendly Ethiopian providers to deliver LARCs and peer educators to share information about them. (</w:t>
            </w:r>
            <w:r w:rsidRPr="009F37C4">
              <w:rPr>
                <w:rFonts w:ascii="Calibri" w:hAnsi="Calibri" w:cs="Calibri"/>
                <w:b/>
                <w:bCs/>
                <w:sz w:val="22"/>
                <w:szCs w:val="22"/>
              </w:rPr>
              <w:t xml:space="preserve">Source: </w:t>
            </w:r>
            <w:r w:rsidRPr="009F37C4">
              <w:rPr>
                <w:rFonts w:ascii="Calibri" w:hAnsi="Calibri" w:cs="Calibri"/>
                <w:i/>
                <w:iCs/>
                <w:sz w:val="22"/>
                <w:szCs w:val="22"/>
              </w:rPr>
              <w:t xml:space="preserve">Driving the Next Generation of Global Family Planning Programs: Evidence to Action (E2A) Project Final Report, </w:t>
            </w:r>
            <w:r w:rsidRPr="009F37C4">
              <w:rPr>
                <w:rFonts w:ascii="Calibri" w:hAnsi="Calibri" w:cs="Calibri"/>
                <w:sz w:val="22"/>
                <w:szCs w:val="22"/>
              </w:rPr>
              <w:t>USAID and E2A</w:t>
            </w:r>
            <w:r w:rsidRPr="009F37C4">
              <w:rPr>
                <w:rFonts w:ascii="Calibri" w:hAnsi="Calibri" w:cs="Calibri"/>
                <w:i/>
                <w:iCs/>
                <w:sz w:val="22"/>
                <w:szCs w:val="22"/>
              </w:rPr>
              <w:t>,</w:t>
            </w:r>
            <w:r w:rsidRPr="009F37C4">
              <w:rPr>
                <w:rFonts w:ascii="Calibri" w:hAnsi="Calibri" w:cs="Calibri"/>
                <w:sz w:val="22"/>
                <w:szCs w:val="22"/>
              </w:rPr>
              <w:t xml:space="preserve"> June 2021, https://msh.org/wp-content/uploads/2021/08/e2afinalreportjune2021.pdf.)</w:t>
            </w:r>
          </w:p>
        </w:tc>
      </w:tr>
      <w:tr w:rsidR="00122332" w:rsidRPr="009F37C4" w14:paraId="38F0940B" w14:textId="77777777" w:rsidTr="00207829">
        <w:tc>
          <w:tcPr>
            <w:tcW w:w="1701" w:type="dxa"/>
          </w:tcPr>
          <w:p w14:paraId="27081801" w14:textId="414AF44B" w:rsidR="00122332" w:rsidRPr="009F37C4" w:rsidRDefault="00122332" w:rsidP="00122332">
            <w:pPr>
              <w:rPr>
                <w:rFonts w:ascii="Calibri" w:hAnsi="Calibri" w:cs="Calibri"/>
                <w:color w:val="000000" w:themeColor="text1"/>
                <w:sz w:val="22"/>
                <w:szCs w:val="22"/>
              </w:rPr>
            </w:pPr>
            <w:r w:rsidRPr="009F37C4">
              <w:rPr>
                <w:rFonts w:ascii="Calibri" w:hAnsi="Calibri" w:cs="Calibri"/>
                <w:color w:val="000000" w:themeColor="text1"/>
                <w:sz w:val="22"/>
                <w:szCs w:val="22"/>
                <w:shd w:val="clear" w:color="auto" w:fill="FFFFFF"/>
              </w:rPr>
              <w:t xml:space="preserve">Approach issues of non-use and discontinuation from a supply-side perspective by targeting </w:t>
            </w:r>
            <w:r w:rsidRPr="009F37C4">
              <w:rPr>
                <w:rFonts w:ascii="Calibri" w:hAnsi="Calibri" w:cs="Calibri"/>
                <w:color w:val="000000" w:themeColor="text1"/>
                <w:sz w:val="22"/>
                <w:szCs w:val="22"/>
                <w:shd w:val="clear" w:color="auto" w:fill="FFFFFF"/>
              </w:rPr>
              <w:lastRenderedPageBreak/>
              <w:t>providers with quality-of-care improvement interventions</w:t>
            </w:r>
            <w:r w:rsidR="003D4BA2" w:rsidRPr="009F37C4">
              <w:rPr>
                <w:rFonts w:ascii="Calibri" w:hAnsi="Calibri" w:cs="Calibri"/>
                <w:color w:val="000000" w:themeColor="text1"/>
                <w:sz w:val="22"/>
                <w:szCs w:val="22"/>
                <w:shd w:val="clear" w:color="auto" w:fill="FFFFFF"/>
              </w:rPr>
              <w:t>.</w:t>
            </w:r>
          </w:p>
        </w:tc>
        <w:tc>
          <w:tcPr>
            <w:tcW w:w="2704" w:type="dxa"/>
          </w:tcPr>
          <w:p w14:paraId="7C8DB3DA" w14:textId="77777777" w:rsidR="00122332" w:rsidRPr="009F37C4" w:rsidRDefault="00122332" w:rsidP="00122332">
            <w:pPr>
              <w:rPr>
                <w:rFonts w:ascii="Calibri" w:hAnsi="Calibri" w:cs="Calibri"/>
                <w:color w:val="000000" w:themeColor="text1"/>
                <w:sz w:val="22"/>
                <w:szCs w:val="22"/>
              </w:rPr>
            </w:pPr>
          </w:p>
        </w:tc>
        <w:tc>
          <w:tcPr>
            <w:tcW w:w="8910" w:type="dxa"/>
            <w:vAlign w:val="center"/>
          </w:tcPr>
          <w:p w14:paraId="41B5595F" w14:textId="77777777" w:rsidR="00122332" w:rsidRPr="009F37C4" w:rsidRDefault="00122332" w:rsidP="00122332">
            <w:pPr>
              <w:rPr>
                <w:rFonts w:ascii="Calibri" w:hAnsi="Calibri" w:cs="Calibri"/>
                <w:sz w:val="22"/>
                <w:szCs w:val="22"/>
              </w:rPr>
            </w:pPr>
            <w:r w:rsidRPr="009F37C4">
              <w:rPr>
                <w:rFonts w:ascii="Calibri" w:hAnsi="Calibri" w:cs="Calibri"/>
                <w:color w:val="000000"/>
                <w:sz w:val="22"/>
                <w:szCs w:val="22"/>
                <w:shd w:val="clear" w:color="auto" w:fill="FFFFFF"/>
              </w:rPr>
              <w:t>In Egyptian clinics, client-centered FP counseling was associated with a three-fold increase in patient satisfaction and higher contraceptive continuation rates at a seven-month follow-up.</w:t>
            </w:r>
            <w:r w:rsidRPr="009F37C4">
              <w:rPr>
                <w:rStyle w:val="FootnoteReference"/>
                <w:rFonts w:ascii="Calibri" w:hAnsi="Calibri" w:cs="Calibri"/>
                <w:color w:val="000000"/>
                <w:sz w:val="22"/>
                <w:szCs w:val="22"/>
                <w:shd w:val="clear" w:color="auto" w:fill="FFFFFF"/>
              </w:rPr>
              <w:footnoteRef/>
            </w:r>
            <w:r w:rsidRPr="009F37C4">
              <w:rPr>
                <w:rFonts w:ascii="Calibri" w:hAnsi="Calibri" w:cs="Calibri"/>
                <w:color w:val="000000"/>
                <w:sz w:val="22"/>
                <w:szCs w:val="22"/>
                <w:shd w:val="clear" w:color="auto" w:fill="FFFFFF"/>
              </w:rPr>
              <w:t xml:space="preserve"> Similarly, a study conducted in four governorates in Lower Egypt showed that improving client-provider interaction increased patients’ knowledge and tolerance of contraceptive side effects. Thirteen months after their initial visit, 81% of women in the intervention group were satisfied with the services they had received as compared to 61% in the control group. (</w:t>
            </w:r>
            <w:r w:rsidR="007A49DB" w:rsidRPr="009F37C4">
              <w:rPr>
                <w:rFonts w:ascii="Calibri" w:hAnsi="Calibri" w:cs="Calibri"/>
                <w:b/>
                <w:bCs/>
                <w:sz w:val="22"/>
                <w:szCs w:val="22"/>
              </w:rPr>
              <w:t xml:space="preserve">Source: </w:t>
            </w:r>
            <w:r w:rsidR="007A49DB" w:rsidRPr="009F37C4">
              <w:rPr>
                <w:rFonts w:ascii="Calibri" w:hAnsi="Calibri" w:cs="Calibri"/>
                <w:sz w:val="22"/>
                <w:szCs w:val="22"/>
              </w:rPr>
              <w:t xml:space="preserve">Laila </w:t>
            </w:r>
            <w:r w:rsidR="007A49DB" w:rsidRPr="009F37C4">
              <w:rPr>
                <w:rFonts w:ascii="Calibri" w:hAnsi="Calibri" w:cs="Calibri"/>
                <w:sz w:val="22"/>
                <w:szCs w:val="22"/>
              </w:rPr>
              <w:lastRenderedPageBreak/>
              <w:t xml:space="preserve">Nawar, Ibrahim </w:t>
            </w:r>
            <w:proofErr w:type="spellStart"/>
            <w:r w:rsidR="007A49DB" w:rsidRPr="009F37C4">
              <w:rPr>
                <w:rFonts w:ascii="Calibri" w:hAnsi="Calibri" w:cs="Calibri"/>
                <w:sz w:val="22"/>
                <w:szCs w:val="22"/>
              </w:rPr>
              <w:t>Kharboush</w:t>
            </w:r>
            <w:proofErr w:type="spellEnd"/>
            <w:r w:rsidR="007A49DB" w:rsidRPr="009F37C4">
              <w:rPr>
                <w:rFonts w:ascii="Calibri" w:hAnsi="Calibri" w:cs="Calibri"/>
                <w:sz w:val="22"/>
                <w:szCs w:val="22"/>
              </w:rPr>
              <w:t xml:space="preserve">, Magdi A. Ibrahim et al., </w:t>
            </w:r>
            <w:r w:rsidR="007A49DB" w:rsidRPr="009F37C4">
              <w:rPr>
                <w:rFonts w:ascii="Calibri" w:hAnsi="Calibri" w:cs="Calibri"/>
                <w:i/>
                <w:iCs/>
                <w:sz w:val="22"/>
                <w:szCs w:val="22"/>
              </w:rPr>
              <w:t>Impact of improved client-provider interaction on women’s achievement of fertility goals in Egypt</w:t>
            </w:r>
            <w:r w:rsidR="007A49DB" w:rsidRPr="009F37C4">
              <w:rPr>
                <w:rFonts w:ascii="Calibri" w:hAnsi="Calibri" w:cs="Calibri"/>
                <w:sz w:val="22"/>
                <w:szCs w:val="22"/>
              </w:rPr>
              <w:t xml:space="preserve"> (Washington, D.C.: Population Council, 2004) </w:t>
            </w:r>
          </w:p>
          <w:p w14:paraId="11F92328" w14:textId="77777777" w:rsidR="007F050E" w:rsidRPr="009F37C4" w:rsidRDefault="007F050E" w:rsidP="00122332">
            <w:pPr>
              <w:rPr>
                <w:rFonts w:ascii="Calibri" w:hAnsi="Calibri" w:cs="Calibri"/>
                <w:sz w:val="22"/>
                <w:szCs w:val="22"/>
              </w:rPr>
            </w:pPr>
          </w:p>
          <w:p w14:paraId="213D8CDD" w14:textId="36793E4C" w:rsidR="007F050E" w:rsidRPr="00730FCD" w:rsidRDefault="007F050E" w:rsidP="007F050E">
            <w:pPr>
              <w:pStyle w:val="NormalWeb"/>
              <w:spacing w:before="0" w:beforeAutospacing="0" w:after="120" w:afterAutospacing="0"/>
              <w:textAlignment w:val="baseline"/>
              <w:rPr>
                <w:rFonts w:ascii="Calibri" w:eastAsiaTheme="minorHAnsi" w:hAnsi="Calibri" w:cs="Calibri"/>
                <w:kern w:val="2"/>
                <w:sz w:val="22"/>
                <w:szCs w:val="22"/>
                <w14:ligatures w14:val="standardContextual"/>
              </w:rPr>
            </w:pPr>
            <w:r w:rsidRPr="009F37C4">
              <w:rPr>
                <w:rFonts w:ascii="Calibri" w:hAnsi="Calibri" w:cs="Calibri"/>
                <w:color w:val="000000"/>
                <w:sz w:val="22"/>
                <w:szCs w:val="22"/>
              </w:rPr>
              <w:t xml:space="preserve">Researchers found evidence that quality of care and facilities, rather than supply, was the primary driver of IUD use in Egyptian public health care centers. The quality of FP services, evaluated across four dimensions (counseling, examination room, supply of methods, and management), had a significant positive effect on IUD use. This positive effect was independent </w:t>
            </w:r>
            <w:r w:rsidRPr="00730FCD">
              <w:rPr>
                <w:rFonts w:ascii="Calibri" w:eastAsiaTheme="minorHAnsi" w:hAnsi="Calibri" w:cs="Calibri"/>
                <w:kern w:val="2"/>
                <w:sz w:val="22"/>
                <w:szCs w:val="22"/>
                <w14:ligatures w14:val="standardContextual"/>
              </w:rPr>
              <w:t>of distance from the facility, facility type, age, and household wealth status.</w:t>
            </w:r>
          </w:p>
          <w:p w14:paraId="6C293450" w14:textId="1855297A" w:rsidR="007F050E" w:rsidRPr="00730FCD" w:rsidRDefault="007F050E" w:rsidP="00730FCD">
            <w:pPr>
              <w:pStyle w:val="NormalWeb"/>
              <w:spacing w:before="0" w:beforeAutospacing="0" w:after="0" w:afterAutospacing="0"/>
              <w:ind w:left="475" w:hanging="475"/>
              <w:rPr>
                <w:rFonts w:ascii="Calibri" w:eastAsiaTheme="minorHAnsi" w:hAnsi="Calibri" w:cs="Calibri"/>
                <w:kern w:val="2"/>
                <w:sz w:val="22"/>
                <w:szCs w:val="22"/>
                <w14:ligatures w14:val="standardContextual"/>
              </w:rPr>
            </w:pPr>
            <w:r w:rsidRPr="00730FCD">
              <w:rPr>
                <w:rFonts w:ascii="Calibri" w:eastAsiaTheme="minorHAnsi" w:hAnsi="Calibri" w:cs="Calibri"/>
                <w:kern w:val="2"/>
                <w:sz w:val="22"/>
                <w:szCs w:val="22"/>
                <w14:ligatures w14:val="standardContextual"/>
              </w:rPr>
              <w:t>(</w:t>
            </w:r>
            <w:r w:rsidRPr="00730FCD">
              <w:rPr>
                <w:rFonts w:ascii="Calibri" w:eastAsiaTheme="minorHAnsi" w:hAnsi="Calibri" w:cs="Calibri"/>
                <w:b/>
                <w:bCs/>
                <w:kern w:val="2"/>
                <w:sz w:val="22"/>
                <w:szCs w:val="22"/>
                <w14:ligatures w14:val="standardContextual"/>
              </w:rPr>
              <w:t>Source</w:t>
            </w:r>
            <w:r w:rsidRPr="00730FCD">
              <w:rPr>
                <w:rFonts w:ascii="Calibri" w:eastAsiaTheme="minorHAnsi" w:hAnsi="Calibri" w:cs="Calibri"/>
                <w:kern w:val="2"/>
                <w:sz w:val="22"/>
                <w:szCs w:val="22"/>
                <w14:ligatures w14:val="standardContextual"/>
              </w:rPr>
              <w:t xml:space="preserve">: </w:t>
            </w:r>
            <w:proofErr w:type="spellStart"/>
            <w:r w:rsidRPr="00730FCD">
              <w:rPr>
                <w:rFonts w:ascii="Calibri" w:eastAsiaTheme="minorHAnsi" w:hAnsi="Calibri" w:cs="Calibri"/>
                <w:kern w:val="2"/>
                <w:sz w:val="22"/>
                <w:szCs w:val="22"/>
                <w14:ligatures w14:val="standardContextual"/>
              </w:rPr>
              <w:t>Rathavuth</w:t>
            </w:r>
            <w:proofErr w:type="spellEnd"/>
            <w:r w:rsidRPr="00730FCD">
              <w:rPr>
                <w:rFonts w:ascii="Calibri" w:eastAsiaTheme="minorHAnsi" w:hAnsi="Calibri" w:cs="Calibri"/>
                <w:kern w:val="2"/>
                <w:sz w:val="22"/>
                <w:szCs w:val="22"/>
                <w14:ligatures w14:val="standardContextual"/>
              </w:rPr>
              <w:t xml:space="preserve"> Hong, Livia Montana, and Vinod Mishra, “Family planning services quality as a determinant of use of IUD in Egypt,” BMC Health Services Research, 6(1) (2006): 79, https://doi.org/10.1186/1472-6963-6-79.)</w:t>
            </w:r>
          </w:p>
          <w:p w14:paraId="1E37DF21" w14:textId="77777777" w:rsidR="003D4BA2" w:rsidRPr="00730FCD" w:rsidRDefault="003D4BA2" w:rsidP="00730FCD">
            <w:pPr>
              <w:rPr>
                <w:rFonts w:ascii="Calibri" w:hAnsi="Calibri" w:cs="Calibri"/>
                <w:sz w:val="22"/>
                <w:szCs w:val="22"/>
              </w:rPr>
            </w:pPr>
          </w:p>
          <w:p w14:paraId="6339BC10" w14:textId="637FBD2A" w:rsidR="001F1C70" w:rsidRPr="009F37C4" w:rsidRDefault="001F1C70" w:rsidP="00122332">
            <w:pPr>
              <w:rPr>
                <w:rFonts w:ascii="Calibri" w:hAnsi="Calibri" w:cs="Calibri"/>
                <w:sz w:val="22"/>
                <w:szCs w:val="22"/>
              </w:rPr>
            </w:pPr>
            <w:r w:rsidRPr="00730FCD">
              <w:rPr>
                <w:rFonts w:ascii="Calibri" w:hAnsi="Calibri" w:cs="Calibri"/>
                <w:sz w:val="22"/>
                <w:szCs w:val="22"/>
              </w:rPr>
              <w:t>Client-centered counseling improved client satisfaction with family planning visits in Irbid, Jordan. The counseling</w:t>
            </w:r>
            <w:r w:rsidRPr="009F37C4">
              <w:rPr>
                <w:rFonts w:ascii="Calibri" w:hAnsi="Calibri" w:cs="Calibri"/>
                <w:color w:val="000000"/>
                <w:sz w:val="22"/>
                <w:szCs w:val="22"/>
                <w:shd w:val="clear" w:color="auto" w:fill="FFFFFF"/>
              </w:rPr>
              <w:t xml:space="preserve"> curriculum, called “Consult and Choose,” helped limit the negative effects of provider bias by encouraging health professionals to follow “internationally recognized standards.” Sessions lasted five to 15 minutes depending on whether the client was new or returning. (</w:t>
            </w:r>
            <w:r w:rsidRPr="009F37C4">
              <w:rPr>
                <w:rFonts w:ascii="Calibri" w:hAnsi="Calibri" w:cs="Calibri"/>
                <w:b/>
                <w:bCs/>
                <w:sz w:val="22"/>
                <w:szCs w:val="22"/>
              </w:rPr>
              <w:t xml:space="preserve">Source: </w:t>
            </w:r>
            <w:r w:rsidRPr="009F37C4">
              <w:rPr>
                <w:rFonts w:ascii="Calibri" w:hAnsi="Calibri" w:cs="Calibri"/>
                <w:sz w:val="22"/>
                <w:szCs w:val="22"/>
              </w:rPr>
              <w:t xml:space="preserve">Susan </w:t>
            </w:r>
            <w:proofErr w:type="spellStart"/>
            <w:r w:rsidRPr="009F37C4">
              <w:rPr>
                <w:rFonts w:ascii="Calibri" w:hAnsi="Calibri" w:cs="Calibri"/>
                <w:sz w:val="22"/>
                <w:szCs w:val="22"/>
              </w:rPr>
              <w:t>Kamhawi</w:t>
            </w:r>
            <w:proofErr w:type="spellEnd"/>
            <w:r w:rsidRPr="009F37C4">
              <w:rPr>
                <w:rFonts w:ascii="Calibri" w:hAnsi="Calibri" w:cs="Calibri"/>
                <w:sz w:val="22"/>
                <w:szCs w:val="22"/>
              </w:rPr>
              <w:t xml:space="preserve">, Carol Underwood, Huda Murad et al., “Client-centered counseling improves client satisfaction with family planning visits: evidence from Irbid, Jordan,” </w:t>
            </w:r>
            <w:r w:rsidRPr="009F37C4">
              <w:rPr>
                <w:rFonts w:ascii="Calibri" w:hAnsi="Calibri" w:cs="Calibri"/>
                <w:i/>
                <w:iCs/>
                <w:sz w:val="22"/>
                <w:szCs w:val="22"/>
              </w:rPr>
              <w:t>Global Health: Science and Practice</w:t>
            </w:r>
            <w:r w:rsidRPr="009F37C4">
              <w:rPr>
                <w:rFonts w:ascii="Calibri" w:hAnsi="Calibri" w:cs="Calibri"/>
                <w:sz w:val="22"/>
                <w:szCs w:val="22"/>
              </w:rPr>
              <w:t xml:space="preserve"> </w:t>
            </w:r>
            <w:r w:rsidRPr="009F37C4">
              <w:rPr>
                <w:rFonts w:ascii="Calibri" w:hAnsi="Calibri" w:cs="Calibri"/>
                <w:i/>
                <w:iCs/>
                <w:sz w:val="22"/>
                <w:szCs w:val="22"/>
              </w:rPr>
              <w:t>1</w:t>
            </w:r>
            <w:r w:rsidRPr="009F37C4">
              <w:rPr>
                <w:rFonts w:ascii="Calibri" w:hAnsi="Calibri" w:cs="Calibri"/>
                <w:sz w:val="22"/>
                <w:szCs w:val="22"/>
              </w:rPr>
              <w:t>(2), (2013): 180–192. https://doi.org/10.9745/GHSP-D-12-00051)</w:t>
            </w:r>
          </w:p>
        </w:tc>
      </w:tr>
      <w:tr w:rsidR="00122332" w:rsidRPr="009F37C4" w14:paraId="75F1250A" w14:textId="77777777" w:rsidTr="00207829">
        <w:tc>
          <w:tcPr>
            <w:tcW w:w="1701" w:type="dxa"/>
          </w:tcPr>
          <w:p w14:paraId="10612C6C" w14:textId="738AAA00" w:rsidR="00122332" w:rsidRPr="009F37C4" w:rsidRDefault="002632C7" w:rsidP="00122332">
            <w:pPr>
              <w:rPr>
                <w:rFonts w:ascii="Calibri" w:hAnsi="Calibri" w:cs="Calibri"/>
                <w:color w:val="000000" w:themeColor="text1"/>
                <w:sz w:val="22"/>
                <w:szCs w:val="22"/>
              </w:rPr>
            </w:pPr>
            <w:r w:rsidRPr="009F37C4">
              <w:rPr>
                <w:rFonts w:ascii="Calibri" w:hAnsi="Calibri" w:cs="Calibri"/>
                <w:color w:val="000000" w:themeColor="text1"/>
                <w:sz w:val="22"/>
                <w:szCs w:val="22"/>
              </w:rPr>
              <w:lastRenderedPageBreak/>
              <w:t xml:space="preserve">Revise guidelines for FP counseling in health clinics to ensure the information provided is accurate, is based on the latest evidence, and is communicated </w:t>
            </w:r>
            <w:r w:rsidRPr="009F37C4">
              <w:rPr>
                <w:rFonts w:ascii="Calibri" w:hAnsi="Calibri" w:cs="Calibri"/>
                <w:color w:val="000000" w:themeColor="text1"/>
                <w:sz w:val="22"/>
                <w:szCs w:val="22"/>
              </w:rPr>
              <w:lastRenderedPageBreak/>
              <w:t>in a respectful manner</w:t>
            </w:r>
            <w:r w:rsidR="003D4BA2" w:rsidRPr="009F37C4">
              <w:rPr>
                <w:rFonts w:ascii="Calibri" w:hAnsi="Calibri" w:cs="Calibri"/>
                <w:color w:val="000000" w:themeColor="text1"/>
                <w:sz w:val="22"/>
                <w:szCs w:val="22"/>
              </w:rPr>
              <w:t>.</w:t>
            </w:r>
          </w:p>
        </w:tc>
        <w:tc>
          <w:tcPr>
            <w:tcW w:w="2704" w:type="dxa"/>
          </w:tcPr>
          <w:p w14:paraId="7AF1D5B7" w14:textId="14C719CD" w:rsidR="00122332" w:rsidRPr="009F37C4" w:rsidRDefault="002632C7" w:rsidP="00122332">
            <w:pPr>
              <w:rPr>
                <w:rFonts w:ascii="Calibri" w:hAnsi="Calibri" w:cs="Calibri"/>
                <w:color w:val="000000" w:themeColor="text1"/>
                <w:sz w:val="22"/>
                <w:szCs w:val="22"/>
              </w:rPr>
            </w:pPr>
            <w:r w:rsidRPr="009F37C4">
              <w:rPr>
                <w:rFonts w:ascii="Calibri" w:hAnsi="Calibri" w:cs="Calibri"/>
                <w:sz w:val="22"/>
                <w:szCs w:val="22"/>
              </w:rPr>
              <w:lastRenderedPageBreak/>
              <w:t xml:space="preserve">FHI 360 and Population Services International co-developed the </w:t>
            </w:r>
            <w:hyperlink r:id="rId32" w:history="1">
              <w:r w:rsidRPr="009F37C4">
                <w:rPr>
                  <w:rStyle w:val="Hyperlink"/>
                  <w:rFonts w:ascii="Calibri" w:eastAsia="Times New Roman" w:hAnsi="Calibri" w:cs="Calibri"/>
                  <w:sz w:val="22"/>
                  <w:szCs w:val="22"/>
                </w:rPr>
                <w:t>NORMAL Counseling Tool for Menstrual Bleeding Changes</w:t>
              </w:r>
            </w:hyperlink>
            <w:r w:rsidRPr="009F37C4">
              <w:rPr>
                <w:rFonts w:ascii="Calibri" w:hAnsi="Calibri" w:cs="Calibri"/>
                <w:sz w:val="22"/>
                <w:szCs w:val="22"/>
              </w:rPr>
              <w:t xml:space="preserve"> to proactively manage side effects.</w:t>
            </w:r>
          </w:p>
        </w:tc>
        <w:tc>
          <w:tcPr>
            <w:tcW w:w="8910" w:type="dxa"/>
          </w:tcPr>
          <w:p w14:paraId="2AA0CD4F" w14:textId="489618DE" w:rsidR="00122332" w:rsidRPr="009F37C4" w:rsidRDefault="002632C7" w:rsidP="00122332">
            <w:pPr>
              <w:rPr>
                <w:rFonts w:ascii="Calibri" w:hAnsi="Calibri" w:cs="Calibri"/>
                <w:sz w:val="22"/>
                <w:szCs w:val="22"/>
              </w:rPr>
            </w:pPr>
            <w:r w:rsidRPr="009F37C4">
              <w:rPr>
                <w:rFonts w:ascii="Calibri" w:hAnsi="Calibri" w:cs="Calibri"/>
                <w:sz w:val="22"/>
                <w:szCs w:val="22"/>
              </w:rPr>
              <w:t>Prince et al. showed that pregnancy rates in Jordan were 6.3% lower among women who received postpartum FP counseling based on a revised guide used by Jordanian midwives versus those who received counseling based on the original. The revised guide presented more thorough and accurate information, and those using it were trained to conduct the counseling privately and take as much time as necessary for the mother to understand the contents and ask questions. (</w:t>
            </w:r>
            <w:r w:rsidRPr="009F37C4">
              <w:rPr>
                <w:rFonts w:ascii="Calibri" w:hAnsi="Calibri" w:cs="Calibri"/>
                <w:b/>
                <w:bCs/>
                <w:sz w:val="22"/>
                <w:szCs w:val="22"/>
              </w:rPr>
              <w:t xml:space="preserve">Source: </w:t>
            </w:r>
            <w:r w:rsidRPr="009F37C4">
              <w:rPr>
                <w:rFonts w:ascii="Calibri" w:hAnsi="Calibri" w:cs="Calibri"/>
                <w:sz w:val="22"/>
                <w:szCs w:val="22"/>
              </w:rPr>
              <w:t>Heath</w:t>
            </w:r>
            <w:r w:rsidRPr="009F37C4">
              <w:rPr>
                <w:rFonts w:ascii="Calibri" w:hAnsi="Calibri" w:cs="Calibri"/>
                <w:b/>
                <w:bCs/>
                <w:sz w:val="22"/>
                <w:szCs w:val="22"/>
              </w:rPr>
              <w:t xml:space="preserve"> </w:t>
            </w:r>
            <w:r w:rsidRPr="009F37C4">
              <w:rPr>
                <w:rFonts w:ascii="Calibri" w:hAnsi="Calibri" w:cs="Calibri"/>
                <w:sz w:val="22"/>
                <w:szCs w:val="22"/>
              </w:rPr>
              <w:t xml:space="preserve">Prince, Yusef Khader, Yara </w:t>
            </w:r>
            <w:proofErr w:type="spellStart"/>
            <w:r w:rsidRPr="009F37C4">
              <w:rPr>
                <w:rFonts w:ascii="Calibri" w:hAnsi="Calibri" w:cs="Calibri"/>
                <w:sz w:val="22"/>
                <w:szCs w:val="22"/>
              </w:rPr>
              <w:t>Halasa</w:t>
            </w:r>
            <w:proofErr w:type="spellEnd"/>
            <w:r w:rsidRPr="009F37C4">
              <w:rPr>
                <w:rFonts w:ascii="Calibri" w:hAnsi="Calibri" w:cs="Calibri"/>
                <w:sz w:val="22"/>
                <w:szCs w:val="22"/>
              </w:rPr>
              <w:t xml:space="preserve"> et al., </w:t>
            </w:r>
            <w:r w:rsidRPr="009F37C4">
              <w:rPr>
                <w:rFonts w:ascii="Calibri" w:hAnsi="Calibri" w:cs="Calibri"/>
                <w:i/>
                <w:iCs/>
                <w:sz w:val="22"/>
                <w:szCs w:val="22"/>
              </w:rPr>
              <w:t xml:space="preserve">Examining Reproductive Health Services of Women, Female Youth, and Female Refugees in Northern Jordan with a Behavioral Economics Lens, </w:t>
            </w:r>
            <w:r w:rsidRPr="009F37C4">
              <w:rPr>
                <w:rFonts w:ascii="Calibri" w:hAnsi="Calibri" w:cs="Calibri"/>
                <w:sz w:val="22"/>
                <w:szCs w:val="22"/>
              </w:rPr>
              <w:t xml:space="preserve">Ray Marshall Center for the Study of Human Resources, University of Texas, Austin, 2020, https://www.nwo.nl/sites/nwo/files/documents/SRHR - Policy brief - Jordan Project - Examining health services with </w:t>
            </w:r>
            <w:proofErr w:type="spellStart"/>
            <w:r w:rsidRPr="009F37C4">
              <w:rPr>
                <w:rFonts w:ascii="Calibri" w:hAnsi="Calibri" w:cs="Calibri"/>
                <w:sz w:val="22"/>
                <w:szCs w:val="22"/>
              </w:rPr>
              <w:t>Behavioural</w:t>
            </w:r>
            <w:proofErr w:type="spellEnd"/>
            <w:r w:rsidRPr="009F37C4">
              <w:rPr>
                <w:rFonts w:ascii="Calibri" w:hAnsi="Calibri" w:cs="Calibri"/>
                <w:sz w:val="22"/>
                <w:szCs w:val="22"/>
              </w:rPr>
              <w:t xml:space="preserve"> Economics Lens %28Prince%29.pdf.)</w:t>
            </w:r>
          </w:p>
        </w:tc>
      </w:tr>
      <w:tr w:rsidR="00122332" w:rsidRPr="009F37C4" w14:paraId="4A030690" w14:textId="77777777" w:rsidTr="00207829">
        <w:tc>
          <w:tcPr>
            <w:tcW w:w="1701" w:type="dxa"/>
          </w:tcPr>
          <w:p w14:paraId="3D39E02F" w14:textId="559AE031" w:rsidR="00122332" w:rsidRPr="009F37C4" w:rsidRDefault="005F1DF6" w:rsidP="00122332">
            <w:pPr>
              <w:rPr>
                <w:rFonts w:ascii="Calibri" w:hAnsi="Calibri" w:cs="Calibri"/>
                <w:color w:val="000000" w:themeColor="text1"/>
                <w:sz w:val="22"/>
                <w:szCs w:val="22"/>
              </w:rPr>
            </w:pPr>
            <w:r w:rsidRPr="009F37C4">
              <w:rPr>
                <w:rFonts w:ascii="Calibri" w:hAnsi="Calibri" w:cs="Calibri"/>
                <w:color w:val="000000" w:themeColor="text1"/>
                <w:sz w:val="22"/>
                <w:szCs w:val="22"/>
              </w:rPr>
              <w:t>Healthcare providers must be made aware of the rights and service delivery guidelines regarding adolescent and youth sexual and reproductive health and rights (AYSRHR)</w:t>
            </w:r>
            <w:r w:rsidR="006A1816" w:rsidRPr="009F37C4">
              <w:rPr>
                <w:rFonts w:ascii="Calibri" w:hAnsi="Calibri" w:cs="Calibri"/>
                <w:color w:val="000000" w:themeColor="text1"/>
                <w:sz w:val="22"/>
                <w:szCs w:val="22"/>
              </w:rPr>
              <w:t>.</w:t>
            </w:r>
          </w:p>
        </w:tc>
        <w:tc>
          <w:tcPr>
            <w:tcW w:w="2704" w:type="dxa"/>
          </w:tcPr>
          <w:p w14:paraId="4700514E" w14:textId="59DEB137" w:rsidR="005F1DF6" w:rsidRPr="009F37C4" w:rsidRDefault="005F1DF6" w:rsidP="005F1DF6">
            <w:pPr>
              <w:spacing w:after="120"/>
              <w:rPr>
                <w:rFonts w:ascii="Calibri" w:hAnsi="Calibri" w:cs="Calibri"/>
                <w:color w:val="000000" w:themeColor="text1"/>
                <w:sz w:val="22"/>
                <w:szCs w:val="22"/>
              </w:rPr>
            </w:pPr>
            <w:r w:rsidRPr="009F37C4">
              <w:rPr>
                <w:rFonts w:ascii="Calibri" w:hAnsi="Calibri" w:cs="Calibri"/>
                <w:color w:val="000000" w:themeColor="text1"/>
                <w:sz w:val="22"/>
                <w:szCs w:val="22"/>
              </w:rPr>
              <w:t xml:space="preserve">Brittain et al.’s systematic review of </w:t>
            </w:r>
            <w:hyperlink r:id="rId33" w:history="1">
              <w:r w:rsidRPr="009F37C4">
                <w:rPr>
                  <w:rStyle w:val="Hyperlink"/>
                  <w:rFonts w:ascii="Calibri" w:eastAsia="Times New Roman" w:hAnsi="Calibri" w:cs="Calibri"/>
                  <w:sz w:val="22"/>
                  <w:szCs w:val="22"/>
                </w:rPr>
                <w:t>Youth-Friendly Family Planning Services for Young People</w:t>
              </w:r>
            </w:hyperlink>
            <w:r w:rsidRPr="009F37C4">
              <w:rPr>
                <w:rFonts w:ascii="Calibri" w:hAnsi="Calibri" w:cs="Calibri"/>
                <w:color w:val="000000" w:themeColor="text1"/>
                <w:sz w:val="22"/>
                <w:szCs w:val="22"/>
              </w:rPr>
              <w:t xml:space="preserve"> was updated in 2019.</w:t>
            </w:r>
          </w:p>
          <w:p w14:paraId="705A39F9" w14:textId="77777777" w:rsidR="00122332" w:rsidRPr="009F37C4" w:rsidRDefault="00122332" w:rsidP="00122332">
            <w:pPr>
              <w:rPr>
                <w:rFonts w:ascii="Calibri" w:hAnsi="Calibri" w:cs="Calibri"/>
                <w:color w:val="000000" w:themeColor="text1"/>
                <w:sz w:val="22"/>
                <w:szCs w:val="22"/>
              </w:rPr>
            </w:pPr>
          </w:p>
        </w:tc>
        <w:tc>
          <w:tcPr>
            <w:tcW w:w="8910" w:type="dxa"/>
          </w:tcPr>
          <w:p w14:paraId="506EE990" w14:textId="77777777" w:rsidR="00122332" w:rsidRPr="009F37C4" w:rsidRDefault="00122332" w:rsidP="00122332">
            <w:pPr>
              <w:rPr>
                <w:rFonts w:ascii="Calibri" w:hAnsi="Calibri" w:cs="Calibri"/>
                <w:sz w:val="22"/>
                <w:szCs w:val="22"/>
              </w:rPr>
            </w:pPr>
          </w:p>
        </w:tc>
      </w:tr>
      <w:tr w:rsidR="00122332" w:rsidRPr="009F37C4" w14:paraId="768053C2" w14:textId="77777777" w:rsidTr="00207829">
        <w:tc>
          <w:tcPr>
            <w:tcW w:w="1701" w:type="dxa"/>
          </w:tcPr>
          <w:p w14:paraId="3CEAFE34" w14:textId="3197AAAB" w:rsidR="00122332" w:rsidRPr="009F37C4" w:rsidRDefault="006A1816" w:rsidP="00122332">
            <w:pPr>
              <w:rPr>
                <w:rFonts w:ascii="Calibri" w:hAnsi="Calibri" w:cs="Calibri"/>
                <w:color w:val="000000" w:themeColor="text1"/>
                <w:sz w:val="22"/>
                <w:szCs w:val="22"/>
              </w:rPr>
            </w:pPr>
            <w:r w:rsidRPr="009F37C4">
              <w:rPr>
                <w:rFonts w:ascii="Calibri" w:hAnsi="Calibri" w:cs="Calibri"/>
                <w:color w:val="000000" w:themeColor="text1"/>
                <w:sz w:val="22"/>
                <w:szCs w:val="22"/>
              </w:rPr>
              <w:t>Offer various service models for SRHR care, including through primary healthcare centers and mobile outreach.</w:t>
            </w:r>
          </w:p>
        </w:tc>
        <w:tc>
          <w:tcPr>
            <w:tcW w:w="2704" w:type="dxa"/>
          </w:tcPr>
          <w:p w14:paraId="2303BE86" w14:textId="77777777" w:rsidR="00122332" w:rsidRPr="009F37C4" w:rsidRDefault="006A1816" w:rsidP="006A1816">
            <w:pPr>
              <w:spacing w:after="120"/>
              <w:rPr>
                <w:rFonts w:ascii="Calibri" w:hAnsi="Calibri" w:cs="Calibri"/>
                <w:sz w:val="22"/>
                <w:szCs w:val="22"/>
              </w:rPr>
            </w:pPr>
            <w:r w:rsidRPr="009F37C4">
              <w:rPr>
                <w:rFonts w:ascii="Calibri" w:hAnsi="Calibri" w:cs="Calibri"/>
                <w:sz w:val="22"/>
                <w:szCs w:val="22"/>
              </w:rPr>
              <w:t xml:space="preserve">USAID put out a handbook for program planners in 2010, </w:t>
            </w:r>
            <w:hyperlink r:id="rId34" w:history="1">
              <w:r w:rsidRPr="009F37C4">
                <w:rPr>
                  <w:rStyle w:val="Hyperlink"/>
                  <w:rFonts w:ascii="Calibri" w:eastAsia="Times New Roman" w:hAnsi="Calibri" w:cs="Calibri"/>
                  <w:sz w:val="22"/>
                  <w:szCs w:val="22"/>
                </w:rPr>
                <w:t>Expanding Contraceptive Choice to the Underserved Through Delivery of Mobile Outreach Services</w:t>
              </w:r>
            </w:hyperlink>
            <w:r w:rsidRPr="009F37C4">
              <w:rPr>
                <w:rFonts w:ascii="Calibri" w:hAnsi="Calibri" w:cs="Calibri"/>
                <w:sz w:val="22"/>
                <w:szCs w:val="22"/>
              </w:rPr>
              <w:t xml:space="preserve"> in 2010.</w:t>
            </w:r>
          </w:p>
          <w:p w14:paraId="1E26E8A2" w14:textId="6EE804E7" w:rsidR="002062EA" w:rsidRPr="009F37C4" w:rsidRDefault="002062EA" w:rsidP="006A1816">
            <w:pPr>
              <w:spacing w:after="120"/>
              <w:rPr>
                <w:rFonts w:ascii="Calibri" w:hAnsi="Calibri" w:cs="Calibri"/>
                <w:sz w:val="22"/>
                <w:szCs w:val="22"/>
              </w:rPr>
            </w:pPr>
            <w:r w:rsidRPr="009F37C4">
              <w:rPr>
                <w:rFonts w:ascii="Calibri" w:hAnsi="Calibri" w:cs="Calibri"/>
                <w:sz w:val="22"/>
                <w:szCs w:val="22"/>
              </w:rPr>
              <w:t xml:space="preserve">The </w:t>
            </w:r>
            <w:hyperlink r:id="rId35" w:history="1">
              <w:r w:rsidRPr="009F37C4">
                <w:rPr>
                  <w:rStyle w:val="Hyperlink"/>
                  <w:rFonts w:ascii="Calibri" w:eastAsia="Times New Roman" w:hAnsi="Calibri" w:cs="Calibri"/>
                  <w:sz w:val="22"/>
                  <w:szCs w:val="22"/>
                </w:rPr>
                <w:t>MISP</w:t>
              </w:r>
            </w:hyperlink>
            <w:r w:rsidRPr="009F37C4">
              <w:rPr>
                <w:rFonts w:ascii="Calibri" w:hAnsi="Calibri" w:cs="Calibri"/>
                <w:sz w:val="22"/>
                <w:szCs w:val="22"/>
              </w:rPr>
              <w:t xml:space="preserve"> is a standard package of SRH services that should be implemented at the onset of an emergency.</w:t>
            </w:r>
          </w:p>
        </w:tc>
        <w:tc>
          <w:tcPr>
            <w:tcW w:w="8910" w:type="dxa"/>
          </w:tcPr>
          <w:p w14:paraId="55B75D3A" w14:textId="77777777" w:rsidR="00122332" w:rsidRPr="009F37C4" w:rsidRDefault="00122332" w:rsidP="00122332">
            <w:pPr>
              <w:rPr>
                <w:rFonts w:ascii="Calibri" w:hAnsi="Calibri" w:cs="Calibri"/>
                <w:sz w:val="22"/>
                <w:szCs w:val="22"/>
              </w:rPr>
            </w:pPr>
          </w:p>
        </w:tc>
      </w:tr>
      <w:tr w:rsidR="00122332" w:rsidRPr="009F37C4" w14:paraId="40B1ED16" w14:textId="77777777" w:rsidTr="00207829">
        <w:tc>
          <w:tcPr>
            <w:tcW w:w="1701" w:type="dxa"/>
          </w:tcPr>
          <w:p w14:paraId="3455C40F" w14:textId="050C46CE" w:rsidR="00122332" w:rsidRPr="009F37C4" w:rsidRDefault="0089028F" w:rsidP="00122332">
            <w:pPr>
              <w:rPr>
                <w:rFonts w:ascii="Calibri" w:hAnsi="Calibri" w:cs="Calibri"/>
                <w:color w:val="000000" w:themeColor="text1"/>
                <w:sz w:val="22"/>
                <w:szCs w:val="22"/>
              </w:rPr>
            </w:pPr>
            <w:r w:rsidRPr="009F37C4">
              <w:rPr>
                <w:rFonts w:ascii="Calibri" w:hAnsi="Calibri" w:cs="Calibri"/>
                <w:color w:val="000000"/>
                <w:sz w:val="22"/>
                <w:szCs w:val="22"/>
                <w:shd w:val="clear" w:color="auto" w:fill="FFFFFF"/>
              </w:rPr>
              <w:t xml:space="preserve">Use fractional social franchising to facilitate the rapid scale-up of inexpensive, </w:t>
            </w:r>
            <w:r w:rsidRPr="009F37C4">
              <w:rPr>
                <w:rFonts w:ascii="Calibri" w:hAnsi="Calibri" w:cs="Calibri"/>
                <w:color w:val="000000"/>
                <w:sz w:val="22"/>
                <w:szCs w:val="22"/>
                <w:shd w:val="clear" w:color="auto" w:fill="FFFFFF"/>
              </w:rPr>
              <w:lastRenderedPageBreak/>
              <w:t>high-quality FP services.</w:t>
            </w:r>
          </w:p>
        </w:tc>
        <w:tc>
          <w:tcPr>
            <w:tcW w:w="2704" w:type="dxa"/>
          </w:tcPr>
          <w:p w14:paraId="594F5202" w14:textId="5397F068" w:rsidR="00122332" w:rsidRPr="009F37C4" w:rsidRDefault="0089028F" w:rsidP="00122332">
            <w:pPr>
              <w:rPr>
                <w:rFonts w:ascii="Calibri" w:hAnsi="Calibri" w:cs="Calibri"/>
                <w:color w:val="000000" w:themeColor="text1"/>
                <w:sz w:val="22"/>
                <w:szCs w:val="22"/>
              </w:rPr>
            </w:pPr>
            <w:r w:rsidRPr="009F37C4">
              <w:rPr>
                <w:rFonts w:ascii="Calibri" w:hAnsi="Calibri" w:cs="Calibri"/>
                <w:sz w:val="22"/>
                <w:szCs w:val="22"/>
              </w:rPr>
              <w:lastRenderedPageBreak/>
              <w:t xml:space="preserve">The HIP Partnership offers a brief guide called </w:t>
            </w:r>
            <w:hyperlink r:id="rId36" w:history="1">
              <w:r w:rsidRPr="009F37C4">
                <w:rPr>
                  <w:rStyle w:val="Hyperlink"/>
                  <w:rFonts w:ascii="Calibri" w:eastAsia="Times New Roman" w:hAnsi="Calibri" w:cs="Calibri"/>
                  <w:sz w:val="22"/>
                  <w:szCs w:val="22"/>
                </w:rPr>
                <w:t>Social Marketing: Leveraging the private sector to improve contraceptive access, choice, and use</w:t>
              </w:r>
            </w:hyperlink>
            <w:r w:rsidRPr="009F37C4">
              <w:rPr>
                <w:rFonts w:ascii="Calibri" w:hAnsi="Calibri" w:cs="Calibri"/>
                <w:sz w:val="22"/>
                <w:szCs w:val="22"/>
              </w:rPr>
              <w:t xml:space="preserve"> which in </w:t>
            </w:r>
            <w:r w:rsidRPr="009F37C4">
              <w:rPr>
                <w:rFonts w:ascii="Calibri" w:hAnsi="Calibri" w:cs="Calibri"/>
                <w:sz w:val="22"/>
                <w:szCs w:val="22"/>
              </w:rPr>
              <w:lastRenderedPageBreak/>
              <w:t>part addresses the advantages of social marketing in reducing FP disparities.</w:t>
            </w:r>
          </w:p>
        </w:tc>
        <w:tc>
          <w:tcPr>
            <w:tcW w:w="8910" w:type="dxa"/>
          </w:tcPr>
          <w:p w14:paraId="5309F968" w14:textId="5405B4E4" w:rsidR="00122332" w:rsidRPr="009F37C4" w:rsidRDefault="0089028F" w:rsidP="00122332">
            <w:pPr>
              <w:rPr>
                <w:rFonts w:ascii="Calibri" w:hAnsi="Calibri" w:cs="Calibri"/>
                <w:sz w:val="22"/>
                <w:szCs w:val="22"/>
              </w:rPr>
            </w:pPr>
            <w:r w:rsidRPr="009F37C4">
              <w:rPr>
                <w:rFonts w:ascii="Calibri" w:hAnsi="Calibri" w:cs="Calibri"/>
                <w:color w:val="000000"/>
                <w:sz w:val="22"/>
                <w:szCs w:val="22"/>
                <w:shd w:val="clear" w:color="auto" w:fill="FFFFFF"/>
              </w:rPr>
              <w:lastRenderedPageBreak/>
              <w:t>MSI Reproductive Choices has established social franchising programs in 17 countries, bringing FP services to 3.75 million women. Of the modern contraceptive users engaged, 40% had not used FP recently, and nearly 50% had never used FP. Two-thirds of those reached by MSI opted for LARCs. (</w:t>
            </w:r>
            <w:r w:rsidRPr="009F37C4">
              <w:rPr>
                <w:rFonts w:ascii="Calibri" w:hAnsi="Calibri" w:cs="Calibri"/>
                <w:b/>
                <w:bCs/>
                <w:sz w:val="22"/>
                <w:szCs w:val="22"/>
              </w:rPr>
              <w:t xml:space="preserve">Source: </w:t>
            </w:r>
            <w:r w:rsidRPr="009F37C4">
              <w:rPr>
                <w:rFonts w:ascii="Calibri" w:hAnsi="Calibri" w:cs="Calibri"/>
                <w:sz w:val="22"/>
                <w:szCs w:val="22"/>
              </w:rPr>
              <w:t xml:space="preserve">Erik Munroe, Brendan Hayes, and Julia Taft, “Private-Sector Social Franchising to Accelerate Family Planning Access, Choice, and Quality: Results from Marie Stopes International,” </w:t>
            </w:r>
            <w:r w:rsidRPr="009F37C4">
              <w:rPr>
                <w:rFonts w:ascii="Calibri" w:hAnsi="Calibri" w:cs="Calibri"/>
                <w:i/>
                <w:iCs/>
                <w:sz w:val="22"/>
                <w:szCs w:val="22"/>
              </w:rPr>
              <w:lastRenderedPageBreak/>
              <w:t>Global Health: Science and Practice</w:t>
            </w:r>
            <w:r w:rsidRPr="009F37C4">
              <w:rPr>
                <w:rFonts w:ascii="Calibri" w:hAnsi="Calibri" w:cs="Calibri"/>
                <w:sz w:val="22"/>
                <w:szCs w:val="22"/>
              </w:rPr>
              <w:t>, 3(2) (2015): 195–208, https://doi.org/10.9745/GHSP-D-15-00056.)</w:t>
            </w:r>
          </w:p>
        </w:tc>
      </w:tr>
      <w:tr w:rsidR="000956BC" w:rsidRPr="009F37C4" w14:paraId="22FB2DF0" w14:textId="77777777" w:rsidTr="00207829">
        <w:tc>
          <w:tcPr>
            <w:tcW w:w="1701" w:type="dxa"/>
          </w:tcPr>
          <w:p w14:paraId="14459476" w14:textId="67B5512E" w:rsidR="000956BC" w:rsidRPr="009F37C4" w:rsidRDefault="000956BC" w:rsidP="000956BC">
            <w:pPr>
              <w:rPr>
                <w:rFonts w:ascii="Calibri" w:hAnsi="Calibri" w:cs="Calibri"/>
                <w:color w:val="000000" w:themeColor="text1"/>
                <w:sz w:val="22"/>
                <w:szCs w:val="22"/>
              </w:rPr>
            </w:pPr>
            <w:r w:rsidRPr="009F37C4">
              <w:rPr>
                <w:rFonts w:ascii="Calibri" w:hAnsi="Calibri" w:cs="Calibri"/>
                <w:color w:val="000000" w:themeColor="text1"/>
                <w:sz w:val="22"/>
                <w:szCs w:val="22"/>
              </w:rPr>
              <w:lastRenderedPageBreak/>
              <w:t>In consultation with women and girls, explore safe ways to remotely deliver SRH and GBV services.</w:t>
            </w:r>
          </w:p>
        </w:tc>
        <w:tc>
          <w:tcPr>
            <w:tcW w:w="2704" w:type="dxa"/>
          </w:tcPr>
          <w:p w14:paraId="4C5D24FE" w14:textId="77777777" w:rsidR="000956BC" w:rsidRPr="009F37C4" w:rsidRDefault="000956BC" w:rsidP="000956BC">
            <w:pPr>
              <w:rPr>
                <w:rFonts w:ascii="Calibri" w:hAnsi="Calibri" w:cs="Calibri"/>
                <w:color w:val="000000" w:themeColor="text1"/>
                <w:sz w:val="22"/>
                <w:szCs w:val="22"/>
              </w:rPr>
            </w:pPr>
          </w:p>
        </w:tc>
        <w:tc>
          <w:tcPr>
            <w:tcW w:w="8910" w:type="dxa"/>
            <w:vAlign w:val="center"/>
          </w:tcPr>
          <w:p w14:paraId="2C6111F8" w14:textId="14A1C75D" w:rsidR="000956BC" w:rsidRPr="009F37C4" w:rsidRDefault="000956BC" w:rsidP="000956BC">
            <w:pPr>
              <w:rPr>
                <w:rFonts w:ascii="Calibri" w:hAnsi="Calibri" w:cs="Calibri"/>
                <w:sz w:val="22"/>
                <w:szCs w:val="22"/>
              </w:rPr>
            </w:pPr>
            <w:r w:rsidRPr="009F37C4">
              <w:rPr>
                <w:rFonts w:ascii="Calibri" w:hAnsi="Calibri" w:cs="Calibri"/>
                <w:color w:val="000000" w:themeColor="text1"/>
                <w:sz w:val="22"/>
                <w:szCs w:val="22"/>
              </w:rPr>
              <w:t xml:space="preserve">A study successfully used text messages to increase FP acceptability in the Palestinian territories. </w:t>
            </w:r>
            <w:r w:rsidRPr="009F37C4">
              <w:rPr>
                <w:rFonts w:ascii="Calibri" w:hAnsi="Calibri" w:cs="Calibri"/>
                <w:sz w:val="22"/>
                <w:szCs w:val="22"/>
              </w:rPr>
              <w:t>The behavioral change methods behind the texts included belief selection, facilitation, anticipated regret, guided practice, verbal persuasion, tailoring, cultural similarity, arguments, shifting perspective, and goal setting. Those in the intervention group were more likely to find at least one method of effective contraception acceptable and intend to use an effective method. They also had a higher mean knowledge score than participants in the control group. (</w:t>
            </w:r>
            <w:r w:rsidRPr="009F37C4">
              <w:rPr>
                <w:rFonts w:ascii="Calibri" w:hAnsi="Calibri" w:cs="Calibri"/>
                <w:b/>
                <w:bCs/>
                <w:sz w:val="22"/>
                <w:szCs w:val="22"/>
              </w:rPr>
              <w:t xml:space="preserve">Source: </w:t>
            </w:r>
            <w:r w:rsidRPr="009F37C4">
              <w:rPr>
                <w:rFonts w:ascii="Calibri" w:hAnsi="Calibri" w:cs="Calibri"/>
                <w:sz w:val="22"/>
                <w:szCs w:val="22"/>
              </w:rPr>
              <w:t xml:space="preserve">Ona McCarthy, Hanadi </w:t>
            </w:r>
            <w:proofErr w:type="spellStart"/>
            <w:r w:rsidRPr="009F37C4">
              <w:rPr>
                <w:rFonts w:ascii="Calibri" w:hAnsi="Calibri" w:cs="Calibri"/>
                <w:sz w:val="22"/>
                <w:szCs w:val="22"/>
              </w:rPr>
              <w:t>Zghayyer</w:t>
            </w:r>
            <w:proofErr w:type="spellEnd"/>
            <w:r w:rsidRPr="009F37C4">
              <w:rPr>
                <w:rFonts w:ascii="Calibri" w:hAnsi="Calibri" w:cs="Calibri"/>
                <w:sz w:val="22"/>
                <w:szCs w:val="22"/>
              </w:rPr>
              <w:t xml:space="preserve">, Amina Stavridis et al., “A randomized controlled trial of an intervention delivered by mobile phone text message to increase the acceptability of effective contraception among young women in Palestine,” </w:t>
            </w:r>
            <w:r w:rsidRPr="009F37C4">
              <w:rPr>
                <w:rFonts w:ascii="Calibri" w:hAnsi="Calibri" w:cs="Calibri"/>
                <w:i/>
                <w:iCs/>
                <w:sz w:val="22"/>
                <w:szCs w:val="22"/>
              </w:rPr>
              <w:t>Trials</w:t>
            </w:r>
            <w:r w:rsidRPr="009F37C4">
              <w:rPr>
                <w:rFonts w:ascii="Calibri" w:hAnsi="Calibri" w:cs="Calibri"/>
                <w:sz w:val="22"/>
                <w:szCs w:val="22"/>
              </w:rPr>
              <w:t xml:space="preserve">, </w:t>
            </w:r>
            <w:r w:rsidRPr="009F37C4">
              <w:rPr>
                <w:rFonts w:ascii="Calibri" w:hAnsi="Calibri" w:cs="Calibri"/>
                <w:i/>
                <w:iCs/>
                <w:sz w:val="22"/>
                <w:szCs w:val="22"/>
              </w:rPr>
              <w:t>20</w:t>
            </w:r>
            <w:r w:rsidRPr="009F37C4">
              <w:rPr>
                <w:rFonts w:ascii="Calibri" w:hAnsi="Calibri" w:cs="Calibri"/>
                <w:sz w:val="22"/>
                <w:szCs w:val="22"/>
              </w:rPr>
              <w:t>(1) (2019): 228, https://doi.org/10.1186/s13063-019-3297-4.)</w:t>
            </w:r>
          </w:p>
        </w:tc>
      </w:tr>
      <w:tr w:rsidR="000956BC" w:rsidRPr="009F37C4" w14:paraId="635B511D" w14:textId="77777777" w:rsidTr="00207829">
        <w:tc>
          <w:tcPr>
            <w:tcW w:w="1701" w:type="dxa"/>
          </w:tcPr>
          <w:p w14:paraId="778C8457" w14:textId="6D718D4C" w:rsidR="000956BC" w:rsidRPr="009F37C4" w:rsidRDefault="000956BC" w:rsidP="000956BC">
            <w:pPr>
              <w:rPr>
                <w:rFonts w:ascii="Calibri" w:hAnsi="Calibri" w:cs="Calibri"/>
                <w:color w:val="000000" w:themeColor="text1"/>
                <w:sz w:val="22"/>
                <w:szCs w:val="22"/>
              </w:rPr>
            </w:pPr>
            <w:r w:rsidRPr="009F37C4">
              <w:rPr>
                <w:rFonts w:ascii="Calibri" w:hAnsi="Calibri" w:cs="Calibri"/>
                <w:color w:val="000000"/>
                <w:sz w:val="22"/>
                <w:szCs w:val="22"/>
                <w:shd w:val="clear" w:color="auto" w:fill="FFFFFF"/>
              </w:rPr>
              <w:t>Offer alternatives to facility-based delivery of FP as part of emergency preparedness.</w:t>
            </w:r>
          </w:p>
        </w:tc>
        <w:tc>
          <w:tcPr>
            <w:tcW w:w="2704" w:type="dxa"/>
          </w:tcPr>
          <w:p w14:paraId="64BDE528" w14:textId="77777777" w:rsidR="000956BC" w:rsidRPr="009F37C4" w:rsidRDefault="000956BC" w:rsidP="000956BC">
            <w:pPr>
              <w:rPr>
                <w:rFonts w:ascii="Calibri" w:hAnsi="Calibri" w:cs="Calibri"/>
                <w:color w:val="000000" w:themeColor="text1"/>
                <w:sz w:val="22"/>
                <w:szCs w:val="22"/>
              </w:rPr>
            </w:pPr>
          </w:p>
        </w:tc>
        <w:tc>
          <w:tcPr>
            <w:tcW w:w="8910" w:type="dxa"/>
          </w:tcPr>
          <w:p w14:paraId="5EF87DAF" w14:textId="599E6A5F" w:rsidR="000956BC" w:rsidRPr="009F37C4" w:rsidRDefault="000956BC" w:rsidP="000956BC">
            <w:pPr>
              <w:rPr>
                <w:rFonts w:ascii="Calibri" w:hAnsi="Calibri" w:cs="Calibri"/>
                <w:sz w:val="22"/>
                <w:szCs w:val="22"/>
              </w:rPr>
            </w:pPr>
            <w:r w:rsidRPr="009F37C4">
              <w:rPr>
                <w:rFonts w:ascii="Calibri" w:hAnsi="Calibri" w:cs="Calibri"/>
                <w:color w:val="000000"/>
                <w:sz w:val="22"/>
                <w:szCs w:val="22"/>
                <w:shd w:val="clear" w:color="auto" w:fill="FFFFFF"/>
              </w:rPr>
              <w:t>During the COVID-19 pandemic, Palestinian FP organizations pivoted to Skype, WhatsApp, and mHealth services to reach clients. Providers have successfully offered virtual consultations and educational programming and have reported increased client engagement since the introduction of telehealth modalities. Stakeholders want to invest in providing a larger scope of services and increasing the capacity of SRH hotlines. (</w:t>
            </w:r>
            <w:r w:rsidRPr="009F37C4">
              <w:rPr>
                <w:rFonts w:ascii="Calibri" w:hAnsi="Calibri" w:cs="Calibri"/>
                <w:b/>
                <w:bCs/>
                <w:sz w:val="22"/>
                <w:szCs w:val="22"/>
              </w:rPr>
              <w:t xml:space="preserve">Source: </w:t>
            </w:r>
            <w:r w:rsidRPr="009F37C4">
              <w:rPr>
                <w:rFonts w:ascii="Calibri" w:hAnsi="Calibri" w:cs="Calibri"/>
                <w:sz w:val="22"/>
                <w:szCs w:val="22"/>
              </w:rPr>
              <w:t>Ane</w:t>
            </w:r>
            <w:r w:rsidRPr="009F37C4">
              <w:rPr>
                <w:rFonts w:ascii="Calibri" w:hAnsi="Calibri" w:cs="Calibri"/>
                <w:b/>
                <w:bCs/>
                <w:sz w:val="22"/>
                <w:szCs w:val="22"/>
              </w:rPr>
              <w:t xml:space="preserve"> </w:t>
            </w:r>
            <w:r w:rsidRPr="009F37C4">
              <w:rPr>
                <w:rFonts w:ascii="Calibri" w:hAnsi="Calibri" w:cs="Calibri"/>
                <w:sz w:val="22"/>
                <w:szCs w:val="22"/>
              </w:rPr>
              <w:t xml:space="preserve">Sødal, </w:t>
            </w:r>
            <w:r w:rsidRPr="009F37C4">
              <w:rPr>
                <w:rFonts w:ascii="Calibri" w:hAnsi="Calibri" w:cs="Calibri"/>
                <w:i/>
                <w:iCs/>
                <w:sz w:val="22"/>
                <w:szCs w:val="22"/>
              </w:rPr>
              <w:t>Understanding the Impact of COVID-19 on SRH Services and SRHR: A Comparative Study of Malawi and Palestine</w:t>
            </w:r>
            <w:r w:rsidRPr="009F37C4">
              <w:rPr>
                <w:rFonts w:ascii="Calibri" w:hAnsi="Calibri" w:cs="Calibri"/>
                <w:sz w:val="22"/>
                <w:szCs w:val="22"/>
              </w:rPr>
              <w:t xml:space="preserve">, Oslo Metropolitan University, 2021, </w:t>
            </w:r>
            <w:hyperlink r:id="rId37" w:history="1">
              <w:r w:rsidRPr="009F37C4">
                <w:rPr>
                  <w:rStyle w:val="Hyperlink"/>
                  <w:rFonts w:ascii="Calibri" w:hAnsi="Calibri" w:cs="Calibri"/>
                  <w:sz w:val="22"/>
                  <w:szCs w:val="22"/>
                </w:rPr>
                <w:t>https://oda.oslomet.no/oda-xmlui/handle/11250/2789529</w:t>
              </w:r>
            </w:hyperlink>
            <w:r w:rsidRPr="009F37C4">
              <w:rPr>
                <w:rFonts w:ascii="Calibri" w:hAnsi="Calibri" w:cs="Calibri"/>
                <w:sz w:val="22"/>
                <w:szCs w:val="22"/>
              </w:rPr>
              <w:t>.)</w:t>
            </w:r>
          </w:p>
          <w:p w14:paraId="54E81551" w14:textId="77777777" w:rsidR="000956BC" w:rsidRPr="009F37C4" w:rsidRDefault="000956BC" w:rsidP="000956BC">
            <w:pPr>
              <w:rPr>
                <w:rFonts w:ascii="Calibri" w:hAnsi="Calibri" w:cs="Calibri"/>
                <w:sz w:val="22"/>
                <w:szCs w:val="22"/>
              </w:rPr>
            </w:pPr>
          </w:p>
          <w:p w14:paraId="37425880" w14:textId="5119C4FC" w:rsidR="000956BC" w:rsidRPr="009F37C4" w:rsidRDefault="000956BC" w:rsidP="000956BC">
            <w:pPr>
              <w:rPr>
                <w:rFonts w:ascii="Calibri" w:hAnsi="Calibri" w:cs="Calibri"/>
                <w:sz w:val="22"/>
                <w:szCs w:val="22"/>
              </w:rPr>
            </w:pPr>
            <w:r w:rsidRPr="009F37C4">
              <w:rPr>
                <w:rFonts w:ascii="Calibri" w:hAnsi="Calibri" w:cs="Calibri"/>
                <w:color w:val="000000"/>
                <w:sz w:val="22"/>
                <w:szCs w:val="22"/>
                <w:shd w:val="clear" w:color="auto" w:fill="FFFFFF"/>
              </w:rPr>
              <w:t>Community pharmacies are seen as a high-quality, accessible healthcare option in Egypt. Menstrual hygiene products, pregnancy tests, condoms, and emergency contraceptive pills and IUDs are available over the counter at pharmacies. Consultations with pharmacists are free and require shorter wait times than public primary care clinics. Many continued to provide consultations via Facebook, Twitter, and WhatsApp during COVID lockdowns. This was also the case in Lebanon.</w:t>
            </w:r>
            <w:r w:rsidR="00C951E1" w:rsidRPr="009F37C4">
              <w:rPr>
                <w:rFonts w:ascii="Calibri" w:hAnsi="Calibri" w:cs="Calibri"/>
                <w:color w:val="000000"/>
                <w:sz w:val="22"/>
                <w:szCs w:val="22"/>
                <w:shd w:val="clear" w:color="auto" w:fill="FFFFFF"/>
              </w:rPr>
              <w:t xml:space="preserve"> (</w:t>
            </w:r>
            <w:r w:rsidR="00C951E1" w:rsidRPr="009F37C4">
              <w:rPr>
                <w:rFonts w:ascii="Calibri" w:hAnsi="Calibri" w:cs="Calibri"/>
                <w:b/>
                <w:bCs/>
                <w:sz w:val="22"/>
                <w:szCs w:val="22"/>
              </w:rPr>
              <w:t xml:space="preserve">Source: </w:t>
            </w:r>
            <w:bookmarkStart w:id="0" w:name="_Hlk120037700"/>
            <w:r w:rsidR="00C951E1" w:rsidRPr="009F37C4">
              <w:rPr>
                <w:rFonts w:ascii="Calibri" w:hAnsi="Calibri" w:cs="Calibri"/>
                <w:sz w:val="22"/>
                <w:szCs w:val="22"/>
              </w:rPr>
              <w:t xml:space="preserve">Luna El Bizri, Laila Jarrar, Wael K. Ali </w:t>
            </w:r>
            <w:proofErr w:type="spellStart"/>
            <w:r w:rsidR="00C951E1" w:rsidRPr="009F37C4">
              <w:rPr>
                <w:rFonts w:ascii="Calibri" w:hAnsi="Calibri" w:cs="Calibri"/>
                <w:sz w:val="22"/>
                <w:szCs w:val="22"/>
              </w:rPr>
              <w:t>Ali</w:t>
            </w:r>
            <w:proofErr w:type="spellEnd"/>
            <w:r w:rsidR="00C951E1" w:rsidRPr="009F37C4">
              <w:rPr>
                <w:rFonts w:ascii="Calibri" w:hAnsi="Calibri" w:cs="Calibri"/>
                <w:sz w:val="22"/>
                <w:szCs w:val="22"/>
              </w:rPr>
              <w:t xml:space="preserve"> et al., “The role of community pharmacists in increasing access and use of self-care interventions for sexual and reproductive health in the Eastern Mediterranean Region: examples from Egypt, Jordan, Lebanon and Somalia,” </w:t>
            </w:r>
            <w:r w:rsidR="00C951E1" w:rsidRPr="009F37C4">
              <w:rPr>
                <w:rFonts w:ascii="Calibri" w:hAnsi="Calibri" w:cs="Calibri"/>
                <w:i/>
                <w:iCs/>
                <w:sz w:val="22"/>
                <w:szCs w:val="22"/>
              </w:rPr>
              <w:t>Health Research Policy and Systems</w:t>
            </w:r>
            <w:r w:rsidR="00C951E1" w:rsidRPr="009F37C4">
              <w:rPr>
                <w:rFonts w:ascii="Calibri" w:hAnsi="Calibri" w:cs="Calibri"/>
                <w:sz w:val="22"/>
                <w:szCs w:val="22"/>
              </w:rPr>
              <w:t xml:space="preserve">, </w:t>
            </w:r>
            <w:r w:rsidR="00C951E1" w:rsidRPr="009F37C4">
              <w:rPr>
                <w:rFonts w:ascii="Calibri" w:hAnsi="Calibri" w:cs="Calibri"/>
                <w:i/>
                <w:iCs/>
                <w:sz w:val="22"/>
                <w:szCs w:val="22"/>
              </w:rPr>
              <w:t>19</w:t>
            </w:r>
            <w:r w:rsidR="00C951E1" w:rsidRPr="009F37C4">
              <w:rPr>
                <w:rFonts w:ascii="Calibri" w:hAnsi="Calibri" w:cs="Calibri"/>
                <w:sz w:val="22"/>
                <w:szCs w:val="22"/>
              </w:rPr>
              <w:t xml:space="preserve">(S1) (2021): 49, </w:t>
            </w:r>
            <w:hyperlink r:id="rId38" w:history="1">
              <w:r w:rsidR="001E1526" w:rsidRPr="009F37C4">
                <w:rPr>
                  <w:rStyle w:val="Hyperlink"/>
                  <w:rFonts w:ascii="Calibri" w:hAnsi="Calibri" w:cs="Calibri"/>
                  <w:sz w:val="22"/>
                  <w:szCs w:val="22"/>
                </w:rPr>
                <w:t>https://doi.org/10.1186/s12961-021-00695-0</w:t>
              </w:r>
            </w:hyperlink>
            <w:r w:rsidR="00C951E1" w:rsidRPr="009F37C4">
              <w:rPr>
                <w:rFonts w:ascii="Calibri" w:hAnsi="Calibri" w:cs="Calibri"/>
                <w:sz w:val="22"/>
                <w:szCs w:val="22"/>
              </w:rPr>
              <w:t>.</w:t>
            </w:r>
            <w:bookmarkEnd w:id="0"/>
            <w:r w:rsidR="00C951E1" w:rsidRPr="009F37C4">
              <w:rPr>
                <w:rFonts w:ascii="Calibri" w:hAnsi="Calibri" w:cs="Calibri"/>
                <w:sz w:val="22"/>
                <w:szCs w:val="22"/>
              </w:rPr>
              <w:t>)</w:t>
            </w:r>
          </w:p>
          <w:p w14:paraId="780950F0" w14:textId="77777777" w:rsidR="001E1526" w:rsidRPr="009F37C4" w:rsidRDefault="001E1526" w:rsidP="000956BC">
            <w:pPr>
              <w:rPr>
                <w:rFonts w:ascii="Calibri" w:hAnsi="Calibri" w:cs="Calibri"/>
                <w:sz w:val="22"/>
                <w:szCs w:val="22"/>
              </w:rPr>
            </w:pPr>
          </w:p>
          <w:p w14:paraId="640D0A91" w14:textId="32FCCB08" w:rsidR="001E1526" w:rsidRPr="009F37C4" w:rsidRDefault="001E1526" w:rsidP="000956BC">
            <w:pPr>
              <w:rPr>
                <w:rFonts w:ascii="Calibri" w:hAnsi="Calibri" w:cs="Calibri"/>
                <w:sz w:val="22"/>
                <w:szCs w:val="22"/>
              </w:rPr>
            </w:pPr>
            <w:r w:rsidRPr="009F37C4">
              <w:rPr>
                <w:rFonts w:ascii="Calibri" w:hAnsi="Calibri" w:cs="Calibri"/>
                <w:color w:val="000000" w:themeColor="text1"/>
                <w:sz w:val="22"/>
                <w:szCs w:val="22"/>
              </w:rPr>
              <w:lastRenderedPageBreak/>
              <w:t>The potential of self-injectable DMPA was tested in the DRC during the COVID-19 pandemic. The pilot project successfully trained trainers on self-injections and used community-based distribution to get contraceptives to women in rural areas. This type of technology has great potential to de-medicalize and decentralize FP services as it does not require regular clinic visits. (</w:t>
            </w:r>
            <w:r w:rsidRPr="009F37C4">
              <w:rPr>
                <w:rFonts w:ascii="Calibri" w:hAnsi="Calibri" w:cs="Calibri"/>
                <w:b/>
                <w:bCs/>
                <w:sz w:val="22"/>
                <w:szCs w:val="22"/>
              </w:rPr>
              <w:t xml:space="preserve">Source: </w:t>
            </w:r>
            <w:r w:rsidRPr="009F37C4">
              <w:rPr>
                <w:rFonts w:ascii="Calibri" w:hAnsi="Calibri" w:cs="Calibri"/>
                <w:i/>
                <w:iCs/>
                <w:sz w:val="22"/>
                <w:szCs w:val="22"/>
              </w:rPr>
              <w:t>Driving the Next Generation of Global Family Planning Programs: Evidence to Action (E2A) Project Final Report,</w:t>
            </w:r>
            <w:r w:rsidRPr="009F37C4">
              <w:rPr>
                <w:rFonts w:ascii="Calibri" w:hAnsi="Calibri" w:cs="Calibri"/>
                <w:sz w:val="22"/>
                <w:szCs w:val="22"/>
              </w:rPr>
              <w:t xml:space="preserve"> USAID and E2A, June 2021, https://msh.org/wp-content/uploads/2021/08/e2afinalreportjune2021.pdf.)</w:t>
            </w:r>
          </w:p>
        </w:tc>
      </w:tr>
      <w:tr w:rsidR="000956BC" w:rsidRPr="009F37C4" w14:paraId="38618ABF" w14:textId="77777777" w:rsidTr="00207829">
        <w:tc>
          <w:tcPr>
            <w:tcW w:w="1701" w:type="dxa"/>
          </w:tcPr>
          <w:p w14:paraId="098B3D8C" w14:textId="35EE709A" w:rsidR="000956BC" w:rsidRPr="009F37C4" w:rsidRDefault="00AE2E0A" w:rsidP="000956BC">
            <w:pPr>
              <w:rPr>
                <w:rFonts w:ascii="Calibri" w:hAnsi="Calibri" w:cs="Calibri"/>
                <w:color w:val="000000" w:themeColor="text1"/>
                <w:sz w:val="22"/>
                <w:szCs w:val="22"/>
              </w:rPr>
            </w:pPr>
            <w:r w:rsidRPr="009F37C4">
              <w:rPr>
                <w:rFonts w:ascii="Calibri" w:hAnsi="Calibri" w:cs="Calibri"/>
                <w:color w:val="000000"/>
                <w:sz w:val="22"/>
                <w:szCs w:val="22"/>
                <w:shd w:val="clear" w:color="auto" w:fill="FFFFFF"/>
              </w:rPr>
              <w:lastRenderedPageBreak/>
              <w:t>Establish special assistance programs to eliminate barriers to accessible SRH services during emergencies.</w:t>
            </w:r>
          </w:p>
        </w:tc>
        <w:tc>
          <w:tcPr>
            <w:tcW w:w="2704" w:type="dxa"/>
          </w:tcPr>
          <w:p w14:paraId="3DC4E160" w14:textId="77777777" w:rsidR="000956BC" w:rsidRPr="009F37C4" w:rsidRDefault="000956BC" w:rsidP="000956BC">
            <w:pPr>
              <w:rPr>
                <w:rFonts w:ascii="Calibri" w:hAnsi="Calibri" w:cs="Calibri"/>
                <w:color w:val="000000" w:themeColor="text1"/>
                <w:sz w:val="22"/>
                <w:szCs w:val="22"/>
              </w:rPr>
            </w:pPr>
          </w:p>
        </w:tc>
        <w:tc>
          <w:tcPr>
            <w:tcW w:w="8910" w:type="dxa"/>
          </w:tcPr>
          <w:p w14:paraId="4506FE96" w14:textId="35BD318A" w:rsidR="000956BC" w:rsidRPr="009F37C4" w:rsidRDefault="00AE2E0A" w:rsidP="000956BC">
            <w:pPr>
              <w:rPr>
                <w:rFonts w:ascii="Calibri" w:hAnsi="Calibri" w:cs="Calibri"/>
                <w:sz w:val="22"/>
                <w:szCs w:val="22"/>
              </w:rPr>
            </w:pPr>
            <w:r w:rsidRPr="009F37C4">
              <w:rPr>
                <w:rFonts w:ascii="Calibri" w:hAnsi="Calibri" w:cs="Calibri"/>
                <w:color w:val="000000"/>
                <w:sz w:val="22"/>
                <w:szCs w:val="22"/>
              </w:rPr>
              <w:t xml:space="preserve">During the war in Yemen, FP organizations used vouchers to reduce barriers to LARC use. The program had given out 56,000 vouchers as of 2016. Distribution led to an estimated 38% increase over the expected use of </w:t>
            </w:r>
            <w:proofErr w:type="gramStart"/>
            <w:r w:rsidRPr="009F37C4">
              <w:rPr>
                <w:rFonts w:ascii="Calibri" w:hAnsi="Calibri" w:cs="Calibri"/>
                <w:color w:val="000000"/>
                <w:sz w:val="22"/>
                <w:szCs w:val="22"/>
              </w:rPr>
              <w:t>long-acting</w:t>
            </w:r>
            <w:proofErr w:type="gramEnd"/>
            <w:r w:rsidRPr="009F37C4">
              <w:rPr>
                <w:rFonts w:ascii="Calibri" w:hAnsi="Calibri" w:cs="Calibri"/>
                <w:color w:val="000000"/>
                <w:sz w:val="22"/>
                <w:szCs w:val="22"/>
              </w:rPr>
              <w:t xml:space="preserve"> and permanent methods in 2014. </w:t>
            </w:r>
            <w:proofErr w:type="gramStart"/>
            <w:r w:rsidRPr="009F37C4">
              <w:rPr>
                <w:rFonts w:ascii="Calibri" w:hAnsi="Calibri" w:cs="Calibri"/>
                <w:color w:val="000000"/>
                <w:sz w:val="22"/>
                <w:szCs w:val="22"/>
              </w:rPr>
              <w:t>Long-acting</w:t>
            </w:r>
            <w:proofErr w:type="gramEnd"/>
            <w:r w:rsidRPr="009F37C4">
              <w:rPr>
                <w:rFonts w:ascii="Calibri" w:hAnsi="Calibri" w:cs="Calibri"/>
                <w:color w:val="000000"/>
                <w:sz w:val="22"/>
                <w:szCs w:val="22"/>
              </w:rPr>
              <w:t xml:space="preserve"> and permanent methods were the most practical because they did not require frequent clinical visits, which may be costly and dangerous in the Yemeni context. (</w:t>
            </w:r>
            <w:r w:rsidRPr="009F37C4">
              <w:rPr>
                <w:rFonts w:ascii="Calibri" w:hAnsi="Calibri" w:cs="Calibri"/>
                <w:b/>
                <w:bCs/>
                <w:sz w:val="22"/>
                <w:szCs w:val="22"/>
              </w:rPr>
              <w:t xml:space="preserve">Source: </w:t>
            </w:r>
            <w:r w:rsidRPr="009F37C4">
              <w:rPr>
                <w:rFonts w:ascii="Calibri" w:hAnsi="Calibri" w:cs="Calibri"/>
                <w:sz w:val="22"/>
                <w:szCs w:val="22"/>
              </w:rPr>
              <w:t xml:space="preserve">Luke </w:t>
            </w:r>
            <w:proofErr w:type="spellStart"/>
            <w:r w:rsidRPr="009F37C4">
              <w:rPr>
                <w:rFonts w:ascii="Calibri" w:hAnsi="Calibri" w:cs="Calibri"/>
                <w:sz w:val="22"/>
                <w:szCs w:val="22"/>
              </w:rPr>
              <w:t>Boddam</w:t>
            </w:r>
            <w:proofErr w:type="spellEnd"/>
            <w:r w:rsidRPr="009F37C4">
              <w:rPr>
                <w:rFonts w:ascii="Calibri" w:hAnsi="Calibri" w:cs="Calibri"/>
                <w:sz w:val="22"/>
                <w:szCs w:val="22"/>
              </w:rPr>
              <w:t xml:space="preserve">-Whetham, </w:t>
            </w:r>
            <w:proofErr w:type="spellStart"/>
            <w:r w:rsidRPr="009F37C4">
              <w:rPr>
                <w:rFonts w:ascii="Calibri" w:hAnsi="Calibri" w:cs="Calibri"/>
                <w:sz w:val="22"/>
                <w:szCs w:val="22"/>
              </w:rPr>
              <w:t>Xaher</w:t>
            </w:r>
            <w:proofErr w:type="spellEnd"/>
            <w:r w:rsidRPr="009F37C4">
              <w:rPr>
                <w:rFonts w:ascii="Calibri" w:hAnsi="Calibri" w:cs="Calibri"/>
                <w:sz w:val="22"/>
                <w:szCs w:val="22"/>
              </w:rPr>
              <w:t xml:space="preserve"> Gul, Eman Al-</w:t>
            </w:r>
            <w:proofErr w:type="spellStart"/>
            <w:r w:rsidRPr="009F37C4">
              <w:rPr>
                <w:rFonts w:ascii="Calibri" w:hAnsi="Calibri" w:cs="Calibri"/>
                <w:sz w:val="22"/>
                <w:szCs w:val="22"/>
              </w:rPr>
              <w:t>Kobati</w:t>
            </w:r>
            <w:proofErr w:type="spellEnd"/>
            <w:r w:rsidRPr="009F37C4">
              <w:rPr>
                <w:rFonts w:ascii="Calibri" w:hAnsi="Calibri" w:cs="Calibri"/>
                <w:sz w:val="22"/>
                <w:szCs w:val="22"/>
              </w:rPr>
              <w:t xml:space="preserve"> et al., “Vouchers in Fragile States: Reducing Barriers to Long-Acting Reversible Contraception in Yemen and Pakistan,” </w:t>
            </w:r>
            <w:r w:rsidRPr="009F37C4">
              <w:rPr>
                <w:rFonts w:ascii="Calibri" w:hAnsi="Calibri" w:cs="Calibri"/>
                <w:i/>
                <w:iCs/>
                <w:sz w:val="22"/>
                <w:szCs w:val="22"/>
              </w:rPr>
              <w:t>Global Health: Science and Practice</w:t>
            </w:r>
            <w:r w:rsidRPr="009F37C4">
              <w:rPr>
                <w:rFonts w:ascii="Calibri" w:hAnsi="Calibri" w:cs="Calibri"/>
                <w:sz w:val="22"/>
                <w:szCs w:val="22"/>
              </w:rPr>
              <w:t xml:space="preserve">, </w:t>
            </w:r>
            <w:r w:rsidRPr="009F37C4">
              <w:rPr>
                <w:rFonts w:ascii="Calibri" w:hAnsi="Calibri" w:cs="Calibri"/>
                <w:i/>
                <w:iCs/>
                <w:sz w:val="22"/>
                <w:szCs w:val="22"/>
              </w:rPr>
              <w:t>4</w:t>
            </w:r>
            <w:r w:rsidRPr="009F37C4">
              <w:rPr>
                <w:rFonts w:ascii="Calibri" w:hAnsi="Calibri" w:cs="Calibri"/>
                <w:sz w:val="22"/>
                <w:szCs w:val="22"/>
              </w:rPr>
              <w:t>(Supplement 2) (2016): S94–S</w:t>
            </w:r>
            <w:proofErr w:type="gramStart"/>
            <w:r w:rsidRPr="009F37C4">
              <w:rPr>
                <w:rFonts w:ascii="Calibri" w:hAnsi="Calibri" w:cs="Calibri"/>
                <w:sz w:val="22"/>
                <w:szCs w:val="22"/>
              </w:rPr>
              <w:t>108,  https://doi.org/10.9745/GHSP-D-15-00308</w:t>
            </w:r>
            <w:proofErr w:type="gramEnd"/>
            <w:r w:rsidRPr="009F37C4">
              <w:rPr>
                <w:rFonts w:ascii="Calibri" w:hAnsi="Calibri" w:cs="Calibri"/>
                <w:sz w:val="22"/>
                <w:szCs w:val="22"/>
              </w:rPr>
              <w:t>.)</w:t>
            </w:r>
          </w:p>
        </w:tc>
      </w:tr>
      <w:tr w:rsidR="000956BC" w:rsidRPr="009F37C4" w14:paraId="455C12F8" w14:textId="77777777" w:rsidTr="00207829">
        <w:tc>
          <w:tcPr>
            <w:tcW w:w="1701" w:type="dxa"/>
          </w:tcPr>
          <w:p w14:paraId="1426F666" w14:textId="7D8B24C2" w:rsidR="000956BC" w:rsidRPr="009F37C4" w:rsidRDefault="0088131E" w:rsidP="000956BC">
            <w:pPr>
              <w:rPr>
                <w:rFonts w:ascii="Calibri" w:hAnsi="Calibri" w:cs="Calibri"/>
                <w:b/>
                <w:bCs/>
                <w:color w:val="000000" w:themeColor="text1"/>
                <w:sz w:val="22"/>
                <w:szCs w:val="22"/>
              </w:rPr>
            </w:pPr>
            <w:r w:rsidRPr="009F37C4">
              <w:rPr>
                <w:rFonts w:ascii="Calibri" w:hAnsi="Calibri" w:cs="Calibri"/>
                <w:b/>
                <w:bCs/>
                <w:color w:val="C00000"/>
                <w:sz w:val="22"/>
                <w:szCs w:val="22"/>
              </w:rPr>
              <w:t>Empowered and Satisfied Client</w:t>
            </w:r>
          </w:p>
        </w:tc>
        <w:tc>
          <w:tcPr>
            <w:tcW w:w="2704" w:type="dxa"/>
          </w:tcPr>
          <w:p w14:paraId="35C759A2" w14:textId="77777777" w:rsidR="000956BC" w:rsidRPr="009F37C4" w:rsidRDefault="000956BC" w:rsidP="000956BC">
            <w:pPr>
              <w:rPr>
                <w:rFonts w:ascii="Calibri" w:hAnsi="Calibri" w:cs="Calibri"/>
                <w:color w:val="000000" w:themeColor="text1"/>
                <w:sz w:val="22"/>
                <w:szCs w:val="22"/>
              </w:rPr>
            </w:pPr>
          </w:p>
        </w:tc>
        <w:tc>
          <w:tcPr>
            <w:tcW w:w="8910" w:type="dxa"/>
          </w:tcPr>
          <w:p w14:paraId="3BC666A1" w14:textId="77777777" w:rsidR="000956BC" w:rsidRPr="009F37C4" w:rsidRDefault="000956BC" w:rsidP="000956BC">
            <w:pPr>
              <w:rPr>
                <w:rFonts w:ascii="Calibri" w:hAnsi="Calibri" w:cs="Calibri"/>
                <w:sz w:val="22"/>
                <w:szCs w:val="22"/>
              </w:rPr>
            </w:pPr>
          </w:p>
        </w:tc>
      </w:tr>
      <w:tr w:rsidR="0088131E" w:rsidRPr="009F37C4" w14:paraId="1CCD70D9" w14:textId="77777777" w:rsidTr="00207829">
        <w:tc>
          <w:tcPr>
            <w:tcW w:w="1701" w:type="dxa"/>
          </w:tcPr>
          <w:p w14:paraId="669785F6" w14:textId="29B56152" w:rsidR="0088131E" w:rsidRPr="009F37C4" w:rsidRDefault="0088131E" w:rsidP="000956BC">
            <w:pPr>
              <w:rPr>
                <w:rFonts w:ascii="Calibri" w:hAnsi="Calibri" w:cs="Calibri"/>
                <w:color w:val="C00000"/>
                <w:sz w:val="22"/>
                <w:szCs w:val="22"/>
              </w:rPr>
            </w:pPr>
            <w:r w:rsidRPr="009F37C4">
              <w:rPr>
                <w:rFonts w:ascii="Calibri" w:hAnsi="Calibri" w:cs="Calibri"/>
                <w:color w:val="000000" w:themeColor="text1"/>
                <w:sz w:val="22"/>
                <w:szCs w:val="22"/>
              </w:rPr>
              <w:t>Launch educational campaigns that dispel specific myths about the dangers of hormonal contraception.</w:t>
            </w:r>
          </w:p>
        </w:tc>
        <w:tc>
          <w:tcPr>
            <w:tcW w:w="2704" w:type="dxa"/>
          </w:tcPr>
          <w:p w14:paraId="5DFB256D" w14:textId="40076DC1" w:rsidR="0088131E" w:rsidRPr="009F37C4" w:rsidRDefault="0088131E" w:rsidP="0088131E">
            <w:pPr>
              <w:spacing w:after="120"/>
              <w:rPr>
                <w:rFonts w:ascii="Calibri" w:hAnsi="Calibri" w:cs="Calibri"/>
                <w:sz w:val="22"/>
                <w:szCs w:val="22"/>
              </w:rPr>
            </w:pPr>
            <w:r w:rsidRPr="009F37C4">
              <w:rPr>
                <w:rFonts w:ascii="Calibri" w:hAnsi="Calibri" w:cs="Calibri"/>
                <w:sz w:val="22"/>
                <w:szCs w:val="22"/>
              </w:rPr>
              <w:t xml:space="preserve">The second edition of the Population Reference Bureau’s </w:t>
            </w:r>
            <w:hyperlink r:id="rId39" w:history="1">
              <w:r w:rsidRPr="009F37C4">
                <w:rPr>
                  <w:rStyle w:val="Hyperlink"/>
                  <w:rFonts w:ascii="Calibri" w:eastAsia="Times New Roman" w:hAnsi="Calibri" w:cs="Calibri"/>
                  <w:sz w:val="22"/>
                  <w:szCs w:val="22"/>
                </w:rPr>
                <w:t>Contraceptive Evidence: Questions and Answers</w:t>
              </w:r>
            </w:hyperlink>
            <w:r w:rsidRPr="009F37C4">
              <w:rPr>
                <w:rFonts w:ascii="Calibri" w:hAnsi="Calibri" w:cs="Calibri"/>
                <w:sz w:val="22"/>
                <w:szCs w:val="22"/>
              </w:rPr>
              <w:t xml:space="preserve"> was published in 2020. The resource was designed to help people make informed decisions about FP and to ensure </w:t>
            </w:r>
            <w:r w:rsidR="003D4BA2" w:rsidRPr="009F37C4">
              <w:rPr>
                <w:rFonts w:ascii="Calibri" w:hAnsi="Calibri" w:cs="Calibri"/>
                <w:sz w:val="22"/>
                <w:szCs w:val="22"/>
              </w:rPr>
              <w:t>policymakers</w:t>
            </w:r>
            <w:r w:rsidRPr="009F37C4">
              <w:rPr>
                <w:rFonts w:ascii="Calibri" w:hAnsi="Calibri" w:cs="Calibri"/>
                <w:sz w:val="22"/>
                <w:szCs w:val="22"/>
              </w:rPr>
              <w:t>, program implementors, and providers offer accurate guidance.</w:t>
            </w:r>
          </w:p>
        </w:tc>
        <w:tc>
          <w:tcPr>
            <w:tcW w:w="8910" w:type="dxa"/>
          </w:tcPr>
          <w:p w14:paraId="06D7B87E" w14:textId="77777777" w:rsidR="0088131E" w:rsidRPr="009F37C4" w:rsidRDefault="0088131E" w:rsidP="000956BC">
            <w:pPr>
              <w:rPr>
                <w:rFonts w:ascii="Calibri" w:hAnsi="Calibri" w:cs="Calibri"/>
                <w:sz w:val="22"/>
                <w:szCs w:val="22"/>
              </w:rPr>
            </w:pPr>
          </w:p>
        </w:tc>
      </w:tr>
      <w:tr w:rsidR="0088131E" w:rsidRPr="009F37C4" w14:paraId="622D56B4" w14:textId="77777777" w:rsidTr="00207829">
        <w:tc>
          <w:tcPr>
            <w:tcW w:w="1701" w:type="dxa"/>
          </w:tcPr>
          <w:p w14:paraId="6E5ED904" w14:textId="670612BB" w:rsidR="0088131E" w:rsidRPr="009F37C4" w:rsidRDefault="00655E48" w:rsidP="000956BC">
            <w:pPr>
              <w:rPr>
                <w:rFonts w:ascii="Calibri" w:hAnsi="Calibri" w:cs="Calibri"/>
                <w:color w:val="C00000"/>
                <w:sz w:val="22"/>
                <w:szCs w:val="22"/>
              </w:rPr>
            </w:pPr>
            <w:r w:rsidRPr="009F37C4">
              <w:rPr>
                <w:rFonts w:ascii="Calibri" w:hAnsi="Calibri" w:cs="Calibri"/>
                <w:color w:val="000000" w:themeColor="text1"/>
                <w:sz w:val="22"/>
                <w:szCs w:val="22"/>
              </w:rPr>
              <w:t xml:space="preserve">Create a counseling hotline and </w:t>
            </w:r>
            <w:r w:rsidRPr="009F37C4">
              <w:rPr>
                <w:rFonts w:ascii="Calibri" w:hAnsi="Calibri" w:cs="Calibri"/>
                <w:color w:val="000000" w:themeColor="text1"/>
                <w:sz w:val="22"/>
                <w:szCs w:val="22"/>
              </w:rPr>
              <w:lastRenderedPageBreak/>
              <w:t>website run by the MoH where accurate and comprehensible SRHR information can be reliably accessed.</w:t>
            </w:r>
          </w:p>
        </w:tc>
        <w:tc>
          <w:tcPr>
            <w:tcW w:w="2704" w:type="dxa"/>
          </w:tcPr>
          <w:p w14:paraId="47B85E2C" w14:textId="77777777" w:rsidR="0088131E" w:rsidRPr="009F37C4" w:rsidRDefault="0088131E" w:rsidP="000956BC">
            <w:pPr>
              <w:rPr>
                <w:rFonts w:ascii="Calibri" w:hAnsi="Calibri" w:cs="Calibri"/>
                <w:color w:val="000000" w:themeColor="text1"/>
                <w:sz w:val="22"/>
                <w:szCs w:val="22"/>
              </w:rPr>
            </w:pPr>
          </w:p>
        </w:tc>
        <w:tc>
          <w:tcPr>
            <w:tcW w:w="8910" w:type="dxa"/>
          </w:tcPr>
          <w:p w14:paraId="0701913C" w14:textId="56789310" w:rsidR="0088131E" w:rsidRPr="009F37C4" w:rsidRDefault="00655E48" w:rsidP="000956BC">
            <w:pPr>
              <w:rPr>
                <w:rFonts w:ascii="Calibri" w:hAnsi="Calibri" w:cs="Calibri"/>
                <w:sz w:val="22"/>
                <w:szCs w:val="22"/>
              </w:rPr>
            </w:pPr>
            <w:r w:rsidRPr="009F37C4">
              <w:rPr>
                <w:rFonts w:ascii="Calibri" w:hAnsi="Calibri" w:cs="Calibri"/>
                <w:color w:val="000000" w:themeColor="text1"/>
                <w:sz w:val="22"/>
                <w:szCs w:val="22"/>
              </w:rPr>
              <w:t xml:space="preserve">Prior to COVID-19, researchers piloted a reproductive health text-messaging program in Mozambique. </w:t>
            </w:r>
            <w:r w:rsidRPr="009F37C4">
              <w:rPr>
                <w:rFonts w:ascii="Calibri" w:hAnsi="Calibri" w:cs="Calibri"/>
                <w:sz w:val="22"/>
                <w:szCs w:val="22"/>
              </w:rPr>
              <w:t xml:space="preserve">The service was an interactive SMS system that delivered role-model stories and informational messages about contraception. It was specifically designed to address the barriers </w:t>
            </w:r>
            <w:r w:rsidRPr="009F37C4">
              <w:rPr>
                <w:rFonts w:ascii="Calibri" w:hAnsi="Calibri" w:cs="Calibri"/>
                <w:sz w:val="22"/>
                <w:szCs w:val="22"/>
              </w:rPr>
              <w:lastRenderedPageBreak/>
              <w:t xml:space="preserve">youth face when seeking FP services. </w:t>
            </w:r>
            <w:r w:rsidRPr="009F37C4">
              <w:rPr>
                <w:rFonts w:ascii="Calibri" w:hAnsi="Calibri" w:cs="Calibri"/>
                <w:color w:val="000000" w:themeColor="text1"/>
                <w:sz w:val="22"/>
                <w:szCs w:val="22"/>
              </w:rPr>
              <w:t>There are still gaps in the evidence linking digital health innovations to improved SRH outcomes, but the Mozambique program got an overwhelmingly positive response from young users. They even expressed their willingness to pay for a subscription for this kind of information service in the future. During the pandemic, health workers could use the same platform to connect people with COVID-19 resources. (</w:t>
            </w:r>
            <w:r w:rsidRPr="009F37C4">
              <w:rPr>
                <w:rFonts w:ascii="Calibri" w:hAnsi="Calibri" w:cs="Calibri"/>
                <w:b/>
                <w:bCs/>
                <w:sz w:val="22"/>
                <w:szCs w:val="22"/>
              </w:rPr>
              <w:t xml:space="preserve">Source: </w:t>
            </w:r>
            <w:r w:rsidRPr="009F37C4">
              <w:rPr>
                <w:rFonts w:ascii="Calibri" w:hAnsi="Calibri" w:cs="Calibri"/>
                <w:i/>
                <w:iCs/>
                <w:sz w:val="22"/>
                <w:szCs w:val="22"/>
              </w:rPr>
              <w:t xml:space="preserve">Driving the Next Generation of Global Family Planning Programs: Evidence to Action (E2A) Project Final Report, </w:t>
            </w:r>
            <w:r w:rsidRPr="009F37C4">
              <w:rPr>
                <w:rFonts w:ascii="Calibri" w:hAnsi="Calibri" w:cs="Calibri"/>
                <w:sz w:val="22"/>
                <w:szCs w:val="22"/>
              </w:rPr>
              <w:t>USAID and E2A, June 2021, https://msh.org/wp-content/uploads/2021/08/e2afinalreportjune2021.pdf.)</w:t>
            </w:r>
          </w:p>
        </w:tc>
      </w:tr>
    </w:tbl>
    <w:p w14:paraId="46084029" w14:textId="77777777" w:rsidR="00157DCF" w:rsidRPr="009F37C4" w:rsidRDefault="00157DCF">
      <w:pPr>
        <w:rPr>
          <w:rFonts w:ascii="Calibri" w:hAnsi="Calibri" w:cs="Calibri"/>
          <w:sz w:val="22"/>
          <w:szCs w:val="22"/>
        </w:rPr>
      </w:pPr>
    </w:p>
    <w:sectPr w:rsidR="00157DCF" w:rsidRPr="009F37C4" w:rsidSect="0020782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E3DC8" w14:textId="77777777" w:rsidR="00AC0CF3" w:rsidRDefault="00AC0CF3" w:rsidP="00EC190D">
      <w:pPr>
        <w:spacing w:after="0" w:line="240" w:lineRule="auto"/>
      </w:pPr>
      <w:r>
        <w:separator/>
      </w:r>
    </w:p>
  </w:endnote>
  <w:endnote w:type="continuationSeparator" w:id="0">
    <w:p w14:paraId="29AFAEA1" w14:textId="77777777" w:rsidR="00AC0CF3" w:rsidRDefault="00AC0CF3" w:rsidP="00EC1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CC001" w14:textId="77777777" w:rsidR="00AC0CF3" w:rsidRDefault="00AC0CF3" w:rsidP="00EC190D">
      <w:pPr>
        <w:spacing w:after="0" w:line="240" w:lineRule="auto"/>
      </w:pPr>
      <w:r>
        <w:separator/>
      </w:r>
    </w:p>
  </w:footnote>
  <w:footnote w:type="continuationSeparator" w:id="0">
    <w:p w14:paraId="75A75586" w14:textId="77777777" w:rsidR="00AC0CF3" w:rsidRDefault="00AC0CF3" w:rsidP="00EC19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02C35"/>
    <w:multiLevelType w:val="hybridMultilevel"/>
    <w:tmpl w:val="3042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E81DAF"/>
    <w:multiLevelType w:val="hybridMultilevel"/>
    <w:tmpl w:val="443074F4"/>
    <w:lvl w:ilvl="0" w:tplc="35824BA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37D30"/>
    <w:multiLevelType w:val="hybridMultilevel"/>
    <w:tmpl w:val="BA76B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6946B1"/>
    <w:multiLevelType w:val="hybridMultilevel"/>
    <w:tmpl w:val="77C4F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191F0A"/>
    <w:multiLevelType w:val="hybridMultilevel"/>
    <w:tmpl w:val="E27C4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77023"/>
    <w:multiLevelType w:val="hybridMultilevel"/>
    <w:tmpl w:val="F0A6A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A7AD5"/>
    <w:multiLevelType w:val="hybridMultilevel"/>
    <w:tmpl w:val="0B46C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671FB3"/>
    <w:multiLevelType w:val="hybridMultilevel"/>
    <w:tmpl w:val="9CB8C3F0"/>
    <w:lvl w:ilvl="0" w:tplc="04090001">
      <w:start w:val="1"/>
      <w:numFmt w:val="bullet"/>
      <w:lvlText w:val=""/>
      <w:lvlJc w:val="left"/>
      <w:pPr>
        <w:ind w:left="720" w:hanging="360"/>
      </w:pPr>
      <w:rPr>
        <w:rFonts w:ascii="Symbol" w:hAnsi="Symbol" w:hint="default"/>
      </w:rPr>
    </w:lvl>
    <w:lvl w:ilvl="1" w:tplc="032C163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8010A6"/>
    <w:multiLevelType w:val="hybridMultilevel"/>
    <w:tmpl w:val="E5685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FF3DF5"/>
    <w:multiLevelType w:val="hybridMultilevel"/>
    <w:tmpl w:val="28663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D1868"/>
    <w:multiLevelType w:val="hybridMultilevel"/>
    <w:tmpl w:val="58448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E10C17"/>
    <w:multiLevelType w:val="hybridMultilevel"/>
    <w:tmpl w:val="0D387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8E4951"/>
    <w:multiLevelType w:val="hybridMultilevel"/>
    <w:tmpl w:val="FC5CEAFC"/>
    <w:lvl w:ilvl="0" w:tplc="04090001">
      <w:start w:val="1"/>
      <w:numFmt w:val="bullet"/>
      <w:lvlText w:val=""/>
      <w:lvlJc w:val="left"/>
      <w:pPr>
        <w:ind w:left="720" w:hanging="360"/>
      </w:pPr>
      <w:rPr>
        <w:rFonts w:ascii="Symbol" w:hAnsi="Symbol" w:hint="default"/>
      </w:rPr>
    </w:lvl>
    <w:lvl w:ilvl="1" w:tplc="032C163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0229003">
    <w:abstractNumId w:val="5"/>
  </w:num>
  <w:num w:numId="2" w16cid:durableId="1998924408">
    <w:abstractNumId w:val="11"/>
  </w:num>
  <w:num w:numId="3" w16cid:durableId="1774741641">
    <w:abstractNumId w:val="3"/>
  </w:num>
  <w:num w:numId="4" w16cid:durableId="487475013">
    <w:abstractNumId w:val="6"/>
  </w:num>
  <w:num w:numId="5" w16cid:durableId="653336184">
    <w:abstractNumId w:val="10"/>
  </w:num>
  <w:num w:numId="6" w16cid:durableId="1568225387">
    <w:abstractNumId w:val="0"/>
  </w:num>
  <w:num w:numId="7" w16cid:durableId="1692800438">
    <w:abstractNumId w:val="8"/>
  </w:num>
  <w:num w:numId="8" w16cid:durableId="1216624251">
    <w:abstractNumId w:val="4"/>
  </w:num>
  <w:num w:numId="9" w16cid:durableId="8263204">
    <w:abstractNumId w:val="1"/>
  </w:num>
  <w:num w:numId="10" w16cid:durableId="1221480537">
    <w:abstractNumId w:val="12"/>
  </w:num>
  <w:num w:numId="11" w16cid:durableId="1235311665">
    <w:abstractNumId w:val="9"/>
  </w:num>
  <w:num w:numId="12" w16cid:durableId="55781351">
    <w:abstractNumId w:val="7"/>
  </w:num>
  <w:num w:numId="13" w16cid:durableId="9810826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DCF"/>
    <w:rsid w:val="00043A25"/>
    <w:rsid w:val="000956BC"/>
    <w:rsid w:val="000C7B9D"/>
    <w:rsid w:val="00107514"/>
    <w:rsid w:val="00122332"/>
    <w:rsid w:val="00157DCF"/>
    <w:rsid w:val="001E1526"/>
    <w:rsid w:val="001F05D0"/>
    <w:rsid w:val="001F1C70"/>
    <w:rsid w:val="002062EA"/>
    <w:rsid w:val="00207829"/>
    <w:rsid w:val="0022441D"/>
    <w:rsid w:val="002632C7"/>
    <w:rsid w:val="002E14E2"/>
    <w:rsid w:val="00326957"/>
    <w:rsid w:val="003B6A92"/>
    <w:rsid w:val="003D4BA2"/>
    <w:rsid w:val="003D57EB"/>
    <w:rsid w:val="00467B4E"/>
    <w:rsid w:val="004E577C"/>
    <w:rsid w:val="00500B56"/>
    <w:rsid w:val="00555A73"/>
    <w:rsid w:val="005F1DF6"/>
    <w:rsid w:val="00655E48"/>
    <w:rsid w:val="006A1816"/>
    <w:rsid w:val="006A23FC"/>
    <w:rsid w:val="00730FCD"/>
    <w:rsid w:val="0074780E"/>
    <w:rsid w:val="00781B30"/>
    <w:rsid w:val="00795AD8"/>
    <w:rsid w:val="007A49DB"/>
    <w:rsid w:val="007C4F0E"/>
    <w:rsid w:val="007F050E"/>
    <w:rsid w:val="0081344D"/>
    <w:rsid w:val="008264F7"/>
    <w:rsid w:val="008449A3"/>
    <w:rsid w:val="0088131E"/>
    <w:rsid w:val="0089028F"/>
    <w:rsid w:val="008A68FC"/>
    <w:rsid w:val="00922214"/>
    <w:rsid w:val="00974418"/>
    <w:rsid w:val="009B0BB7"/>
    <w:rsid w:val="009F37C4"/>
    <w:rsid w:val="00A11D13"/>
    <w:rsid w:val="00AA1FB3"/>
    <w:rsid w:val="00AC0CF3"/>
    <w:rsid w:val="00AE2E0A"/>
    <w:rsid w:val="00BE394E"/>
    <w:rsid w:val="00BF7249"/>
    <w:rsid w:val="00C14253"/>
    <w:rsid w:val="00C951E1"/>
    <w:rsid w:val="00CA62B5"/>
    <w:rsid w:val="00D27618"/>
    <w:rsid w:val="00D42C41"/>
    <w:rsid w:val="00D77283"/>
    <w:rsid w:val="00E262E5"/>
    <w:rsid w:val="00EC190D"/>
    <w:rsid w:val="00F83607"/>
    <w:rsid w:val="00FA5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64B6A"/>
  <w15:chartTrackingRefBased/>
  <w15:docId w15:val="{0B02BAA7-4A3F-4C27-8087-04C6BFDFD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D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7D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57D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7D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57D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57D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57D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57D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57D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7D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7D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57D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7D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57DC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57D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57D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57D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57DCF"/>
    <w:rPr>
      <w:rFonts w:eastAsiaTheme="majorEastAsia" w:cstheme="majorBidi"/>
      <w:color w:val="272727" w:themeColor="text1" w:themeTint="D8"/>
    </w:rPr>
  </w:style>
  <w:style w:type="paragraph" w:styleId="Title">
    <w:name w:val="Title"/>
    <w:basedOn w:val="Normal"/>
    <w:next w:val="Normal"/>
    <w:link w:val="TitleChar"/>
    <w:uiPriority w:val="10"/>
    <w:qFormat/>
    <w:rsid w:val="00157D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7D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7D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7D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7DCF"/>
    <w:pPr>
      <w:spacing w:before="160"/>
      <w:jc w:val="center"/>
    </w:pPr>
    <w:rPr>
      <w:i/>
      <w:iCs/>
      <w:color w:val="404040" w:themeColor="text1" w:themeTint="BF"/>
    </w:rPr>
  </w:style>
  <w:style w:type="character" w:customStyle="1" w:styleId="QuoteChar">
    <w:name w:val="Quote Char"/>
    <w:basedOn w:val="DefaultParagraphFont"/>
    <w:link w:val="Quote"/>
    <w:uiPriority w:val="29"/>
    <w:rsid w:val="00157DCF"/>
    <w:rPr>
      <w:i/>
      <w:iCs/>
      <w:color w:val="404040" w:themeColor="text1" w:themeTint="BF"/>
    </w:rPr>
  </w:style>
  <w:style w:type="paragraph" w:styleId="ListParagraph">
    <w:name w:val="List Paragraph"/>
    <w:basedOn w:val="Normal"/>
    <w:uiPriority w:val="34"/>
    <w:qFormat/>
    <w:rsid w:val="00157DCF"/>
    <w:pPr>
      <w:ind w:left="720"/>
      <w:contextualSpacing/>
    </w:pPr>
  </w:style>
  <w:style w:type="character" w:styleId="IntenseEmphasis">
    <w:name w:val="Intense Emphasis"/>
    <w:basedOn w:val="DefaultParagraphFont"/>
    <w:uiPriority w:val="21"/>
    <w:qFormat/>
    <w:rsid w:val="00157DCF"/>
    <w:rPr>
      <w:i/>
      <w:iCs/>
      <w:color w:val="0F4761" w:themeColor="accent1" w:themeShade="BF"/>
    </w:rPr>
  </w:style>
  <w:style w:type="paragraph" w:styleId="IntenseQuote">
    <w:name w:val="Intense Quote"/>
    <w:basedOn w:val="Normal"/>
    <w:next w:val="Normal"/>
    <w:link w:val="IntenseQuoteChar"/>
    <w:uiPriority w:val="30"/>
    <w:qFormat/>
    <w:rsid w:val="00157D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7DCF"/>
    <w:rPr>
      <w:i/>
      <w:iCs/>
      <w:color w:val="0F4761" w:themeColor="accent1" w:themeShade="BF"/>
    </w:rPr>
  </w:style>
  <w:style w:type="character" w:styleId="IntenseReference">
    <w:name w:val="Intense Reference"/>
    <w:basedOn w:val="DefaultParagraphFont"/>
    <w:uiPriority w:val="32"/>
    <w:qFormat/>
    <w:rsid w:val="00157DCF"/>
    <w:rPr>
      <w:b/>
      <w:bCs/>
      <w:smallCaps/>
      <w:color w:val="0F4761" w:themeColor="accent1" w:themeShade="BF"/>
      <w:spacing w:val="5"/>
    </w:rPr>
  </w:style>
  <w:style w:type="table" w:styleId="TableGrid">
    <w:name w:val="Table Grid"/>
    <w:basedOn w:val="TableNormal"/>
    <w:uiPriority w:val="39"/>
    <w:rsid w:val="00157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C190D"/>
    <w:rPr>
      <w:color w:val="0000FF"/>
      <w:u w:val="single"/>
    </w:rPr>
  </w:style>
  <w:style w:type="paragraph" w:styleId="NormalWeb">
    <w:name w:val="Normal (Web)"/>
    <w:basedOn w:val="Normal"/>
    <w:uiPriority w:val="99"/>
    <w:unhideWhenUsed/>
    <w:rsid w:val="00EC190D"/>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FootnoteReference">
    <w:name w:val="footnote reference"/>
    <w:basedOn w:val="DefaultParagraphFont"/>
    <w:uiPriority w:val="99"/>
    <w:semiHidden/>
    <w:unhideWhenUsed/>
    <w:rsid w:val="00EC190D"/>
    <w:rPr>
      <w:vertAlign w:val="superscript"/>
    </w:rPr>
  </w:style>
  <w:style w:type="character" w:styleId="FollowedHyperlink">
    <w:name w:val="FollowedHyperlink"/>
    <w:basedOn w:val="DefaultParagraphFont"/>
    <w:uiPriority w:val="99"/>
    <w:semiHidden/>
    <w:unhideWhenUsed/>
    <w:rsid w:val="00EC190D"/>
    <w:rPr>
      <w:color w:val="96607D" w:themeColor="followedHyperlink"/>
      <w:u w:val="single"/>
    </w:rPr>
  </w:style>
  <w:style w:type="character" w:styleId="UnresolvedMention">
    <w:name w:val="Unresolved Mention"/>
    <w:basedOn w:val="DefaultParagraphFont"/>
    <w:uiPriority w:val="99"/>
    <w:semiHidden/>
    <w:unhideWhenUsed/>
    <w:rsid w:val="00BE3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icef.org/jordan/media/1796/file/Jordan-Reports.pdf" TargetMode="External"/><Relationship Id="rId18" Type="http://schemas.openxmlformats.org/officeDocument/2006/relationships/hyperlink" Target="https://www.measureevaluation.org/resources/publications/tr-16-131a.html" TargetMode="External"/><Relationship Id="rId26" Type="http://schemas.openxmlformats.org/officeDocument/2006/relationships/hyperlink" Target="https://apps.who.int/iris/bitstream/handle/10665/259274/9789241513036-eng.pdf" TargetMode="External"/><Relationship Id="rId39" Type="http://schemas.openxmlformats.org/officeDocument/2006/relationships/hyperlink" Target="https://www.prb.org/wp-content/uploads/2020/02/prb-contraceptive-evidence-report.pdf" TargetMode="External"/><Relationship Id="rId21" Type="http://schemas.openxmlformats.org/officeDocument/2006/relationships/hyperlink" Target="https://arabstates.unfpa.org/sites/default/files/pub-pdf/situational_analysis_final_for_web.pdf" TargetMode="External"/><Relationship Id="rId34" Type="http://schemas.openxmlformats.org/officeDocument/2006/relationships/hyperlink" Target="https://toolkits.knowledgesuccess.org/sites/default/files/expanding_contraceptive_choice.pdf" TargetMode="External"/><Relationship Id="rId7" Type="http://schemas.openxmlformats.org/officeDocument/2006/relationships/hyperlink" Target="https://www.fphighimpactpractices.org/guides/engaging-men-and-boys-in-family-planning/" TargetMode="External"/><Relationship Id="rId2" Type="http://schemas.openxmlformats.org/officeDocument/2006/relationships/styles" Target="styles.xml"/><Relationship Id="rId16" Type="http://schemas.openxmlformats.org/officeDocument/2006/relationships/hyperlink" Target="https://onlinelibrary.wiley.com/doi/full/10.1002/pad.1840" TargetMode="External"/><Relationship Id="rId20" Type="http://schemas.openxmlformats.org/officeDocument/2006/relationships/hyperlink" Target="https://www.fphighimpactpractices.org/briefs/supply-chain-management/" TargetMode="External"/><Relationship Id="rId29" Type="http://schemas.openxmlformats.org/officeDocument/2006/relationships/hyperlink" Target="https://fp2030.org/sites/default/files/Global%20Consensus%20Statement%20-%20Expanding%20Contraceptive%20Choice.pdf"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abstates.unfpa.org/sites/default/files/pub-pdf/situational_analysis_final_for_web.pdf" TargetMode="External"/><Relationship Id="rId24" Type="http://schemas.openxmlformats.org/officeDocument/2006/relationships/hyperlink" Target="https://www.girlsnotbrides.org/about-child-marriage/law-and-child-marriage/" TargetMode="External"/><Relationship Id="rId32" Type="http://schemas.openxmlformats.org/officeDocument/2006/relationships/hyperlink" Target="https://www.fhi360.org/resource/normal-counseling-tool-menstrual-bleeding-changes" TargetMode="External"/><Relationship Id="rId37" Type="http://schemas.openxmlformats.org/officeDocument/2006/relationships/hyperlink" Target="https://oda.oslomet.no/oda-xmlui/handle/11250/2789529"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tciurbanhealth.org/" TargetMode="External"/><Relationship Id="rId23" Type="http://schemas.openxmlformats.org/officeDocument/2006/relationships/hyperlink" Target="https://www.pathfinder.org/wp-content/uploads/2021/05/Niger-ULC-in-SRH-Report-ENG.pdf" TargetMode="External"/><Relationship Id="rId28" Type="http://schemas.openxmlformats.org/officeDocument/2006/relationships/hyperlink" Target="https://apps.who.int/iris/bitstream/handle/10665/255865/WHO-RHR-17.14-eng.pdf" TargetMode="External"/><Relationship Id="rId36" Type="http://schemas.openxmlformats.org/officeDocument/2006/relationships/hyperlink" Target="http://www.sbccimplementationkits.org/demandrmnch/wp-content/uploads/2014/02/Social-Marketing-Brief.pdf" TargetMode="External"/><Relationship Id="rId10" Type="http://schemas.openxmlformats.org/officeDocument/2006/relationships/hyperlink" Target="https://www.pathfinder.org/publications/couple-focused-interventions-a-theory-of-change/" TargetMode="External"/><Relationship Id="rId19" Type="http://schemas.openxmlformats.org/officeDocument/2006/relationships/hyperlink" Target="https://www.measureevaluation.org/resources/publications/tr-16-131b.html" TargetMode="External"/><Relationship Id="rId31" Type="http://schemas.openxmlformats.org/officeDocument/2006/relationships/hyperlink" Target="https://doi.org/10.1136/bmjsrh-2017-101860" TargetMode="External"/><Relationship Id="rId4" Type="http://schemas.openxmlformats.org/officeDocument/2006/relationships/webSettings" Target="webSettings.xml"/><Relationship Id="rId9" Type="http://schemas.openxmlformats.org/officeDocument/2006/relationships/hyperlink" Target="https://www.pathfinder.org/publications/key-insights-for-first-time-parent-programs/" TargetMode="External"/><Relationship Id="rId14" Type="http://schemas.openxmlformats.org/officeDocument/2006/relationships/hyperlink" Target="https://www.who.int/publications/i/item/inspire-seven-strategies-for-ending-violence-against-children" TargetMode="External"/><Relationship Id="rId22" Type="http://schemas.openxmlformats.org/officeDocument/2006/relationships/hyperlink" Target="https://tarp.e2aproject.org/" TargetMode="External"/><Relationship Id="rId27" Type="http://schemas.openxmlformats.org/officeDocument/2006/relationships/hyperlink" Target="https://www.who.int/publications/i/item/9789241507493" TargetMode="External"/><Relationship Id="rId30" Type="http://schemas.openxmlformats.org/officeDocument/2006/relationships/hyperlink" Target="https://doi.org/10.2307/j.ctv16758qq.5" TargetMode="External"/><Relationship Id="rId35" Type="http://schemas.openxmlformats.org/officeDocument/2006/relationships/hyperlink" Target="https://www.unfpa.org/resources/minimum-initial-service-package-misp-srh-crisis-situations" TargetMode="External"/><Relationship Id="rId8" Type="http://schemas.openxmlformats.org/officeDocument/2006/relationships/hyperlink" Target="https://thepaceproject.org/our-results/distilling-evidence/men-as-contraceptive-users/" TargetMode="External"/><Relationship Id="rId3" Type="http://schemas.openxmlformats.org/officeDocument/2006/relationships/settings" Target="settings.xml"/><Relationship Id="rId12" Type="http://schemas.openxmlformats.org/officeDocument/2006/relationships/hyperlink" Target="https://www.unicef.org/mena/reports/child-marriage-middle-east-and-north-africa" TargetMode="External"/><Relationship Id="rId17" Type="http://schemas.openxmlformats.org/officeDocument/2006/relationships/hyperlink" Target="https://www.path.org/resources/planning-guide-for-a-total-market-approach-to-increase-access-to-family-planning/" TargetMode="External"/><Relationship Id="rId25" Type="http://schemas.openxmlformats.org/officeDocument/2006/relationships/hyperlink" Target="https://apps.who.int/iris/bitstream/handle/10665/67444/WHO_RHR_02.11.pdf?sequence=1&amp;isAllowed=y" TargetMode="External"/><Relationship Id="rId33" Type="http://schemas.openxmlformats.org/officeDocument/2006/relationships/hyperlink" Target="https://www.ncbi.nlm.nih.gov/pmc/articles/PMC6707512/" TargetMode="External"/><Relationship Id="rId38" Type="http://schemas.openxmlformats.org/officeDocument/2006/relationships/hyperlink" Target="https://doi.org/10.1186/s12961-021-0069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3992</Words>
  <Characters>22756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 SchlottiVuc</dc:creator>
  <cp:keywords/>
  <dc:description/>
  <cp:lastModifiedBy>Family SchlottiVuc</cp:lastModifiedBy>
  <cp:revision>2</cp:revision>
  <dcterms:created xsi:type="dcterms:W3CDTF">2025-12-02T16:07:00Z</dcterms:created>
  <dcterms:modified xsi:type="dcterms:W3CDTF">2025-12-02T16:07:00Z</dcterms:modified>
</cp:coreProperties>
</file>